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E0" w:rsidRPr="00D7711F" w:rsidRDefault="004D77E0" w:rsidP="004D77E0">
      <w:pPr>
        <w:rPr>
          <w:rFonts w:ascii="Times New Roman" w:hAnsi="Times New Roman" w:cs="Times New Roman"/>
          <w:b/>
          <w:sz w:val="28"/>
          <w:szCs w:val="28"/>
        </w:rPr>
      </w:pPr>
      <w:r w:rsidRPr="00D7711F">
        <w:rPr>
          <w:rFonts w:ascii="Times New Roman" w:hAnsi="Times New Roman" w:cs="Times New Roman"/>
          <w:b/>
          <w:sz w:val="28"/>
          <w:szCs w:val="28"/>
        </w:rPr>
        <w:t>Social Gender Transition by Schools</w:t>
      </w:r>
    </w:p>
    <w:p w:rsidR="004D77E0" w:rsidRDefault="004D77E0" w:rsidP="004D77E0">
      <w:pPr>
        <w:rPr>
          <w:rFonts w:ascii="Times New Roman" w:hAnsi="Times New Roman" w:cs="Times New Roman"/>
          <w:sz w:val="24"/>
          <w:szCs w:val="24"/>
        </w:rPr>
      </w:pPr>
      <w:r>
        <w:rPr>
          <w:rFonts w:ascii="Times New Roman" w:hAnsi="Times New Roman" w:cs="Times New Roman"/>
          <w:sz w:val="24"/>
          <w:szCs w:val="24"/>
        </w:rPr>
        <w:t>The recent inclusion of gender identity into the anti-discrimination policies of</w:t>
      </w:r>
      <w:r w:rsidR="004D3DE9">
        <w:rPr>
          <w:rFonts w:ascii="Times New Roman" w:hAnsi="Times New Roman" w:cs="Times New Roman"/>
          <w:sz w:val="24"/>
          <w:szCs w:val="24"/>
        </w:rPr>
        <w:t xml:space="preserve"> the</w:t>
      </w:r>
      <w:r>
        <w:rPr>
          <w:rFonts w:ascii="Times New Roman" w:hAnsi="Times New Roman" w:cs="Times New Roman"/>
          <w:sz w:val="24"/>
          <w:szCs w:val="24"/>
        </w:rPr>
        <w:t xml:space="preserve"> W</w:t>
      </w:r>
      <w:r w:rsidR="004D3DE9">
        <w:rPr>
          <w:rFonts w:ascii="Times New Roman" w:hAnsi="Times New Roman" w:cs="Times New Roman"/>
          <w:sz w:val="24"/>
          <w:szCs w:val="24"/>
        </w:rPr>
        <w:t>ake County Public School System</w:t>
      </w:r>
      <w:r>
        <w:rPr>
          <w:rFonts w:ascii="Times New Roman" w:hAnsi="Times New Roman" w:cs="Times New Roman"/>
          <w:sz w:val="24"/>
          <w:szCs w:val="24"/>
        </w:rPr>
        <w:t>, among other districts, will mean that social transition of trans-identifying children and adolescents will be practiced by public schools. There are two sets of concerns arising from this action: (1.) What are the outcomes for those who undergo gender transition beginning with social transition, and (2) what will be the impact on faculty, staff, and</w:t>
      </w:r>
      <w:r w:rsidR="00B1581C">
        <w:rPr>
          <w:rFonts w:ascii="Times New Roman" w:hAnsi="Times New Roman" w:cs="Times New Roman"/>
          <w:sz w:val="24"/>
          <w:szCs w:val="24"/>
        </w:rPr>
        <w:t xml:space="preserve"> other</w:t>
      </w:r>
      <w:r>
        <w:rPr>
          <w:rFonts w:ascii="Times New Roman" w:hAnsi="Times New Roman" w:cs="Times New Roman"/>
          <w:sz w:val="24"/>
          <w:szCs w:val="24"/>
        </w:rPr>
        <w:t xml:space="preserve"> students who will be required to assent to social transition in their schools.  The present article will deal with just the first concern. The authors wish to make clear that we do not wish to cause distress or any harm to those experiencing real difficulties over their gender.  Quite the contrary!!!  We wish people to be well-informed so that policies and treatments most beneficial for those having very real feelings of distress may be found by following the science.</w:t>
      </w:r>
    </w:p>
    <w:p w:rsidR="004D77E0" w:rsidRDefault="004D77E0" w:rsidP="004D77E0">
      <w:pPr>
        <w:rPr>
          <w:rFonts w:ascii="Times New Roman" w:hAnsi="Times New Roman" w:cs="Times New Roman"/>
          <w:sz w:val="24"/>
          <w:szCs w:val="24"/>
        </w:rPr>
      </w:pPr>
      <w:r>
        <w:rPr>
          <w:rFonts w:ascii="Times New Roman" w:hAnsi="Times New Roman" w:cs="Times New Roman"/>
          <w:sz w:val="24"/>
          <w:szCs w:val="24"/>
        </w:rPr>
        <w:t>The first step in gender treatment for minors is often social transition in school.  A review of gender care for children and adolescents was commissioned by NHS England and headed by renowned pediatrician Dr Hilary Cass.  The Review took 4 years and the final report</w:t>
      </w:r>
      <w:r w:rsidRPr="00D41076">
        <w:rPr>
          <w:rFonts w:ascii="Times New Roman" w:hAnsi="Times New Roman" w:cs="Times New Roman"/>
          <w:sz w:val="24"/>
          <w:szCs w:val="24"/>
          <w:vertAlign w:val="superscript"/>
        </w:rPr>
        <w:t>1</w:t>
      </w:r>
      <w:r>
        <w:rPr>
          <w:rFonts w:ascii="Times New Roman" w:hAnsi="Times New Roman" w:cs="Times New Roman"/>
          <w:sz w:val="24"/>
          <w:szCs w:val="24"/>
        </w:rPr>
        <w:t xml:space="preserve"> was published in early 2024.  The Review concluded that social transition is an active intervention even though not conducted in a clinic.</w:t>
      </w:r>
      <w:r w:rsidRPr="00071AF2">
        <w:rPr>
          <w:rFonts w:ascii="Times New Roman" w:hAnsi="Times New Roman" w:cs="Times New Roman"/>
          <w:sz w:val="24"/>
          <w:szCs w:val="24"/>
          <w:vertAlign w:val="superscript"/>
        </w:rPr>
        <w:t>1</w:t>
      </w:r>
      <w:r>
        <w:rPr>
          <w:rFonts w:ascii="Times New Roman" w:hAnsi="Times New Roman" w:cs="Times New Roman"/>
          <w:sz w:val="24"/>
          <w:szCs w:val="24"/>
        </w:rPr>
        <w:t xml:space="preserve">  The Review came to this conclusion because evidence suggests that the percentage of students who persist in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xml:space="preserve"> is increased by social transition,</w:t>
      </w:r>
      <w:r>
        <w:rPr>
          <w:rFonts w:ascii="Times New Roman" w:hAnsi="Times New Roman" w:cs="Times New Roman"/>
          <w:sz w:val="24"/>
          <w:szCs w:val="24"/>
          <w:vertAlign w:val="superscript"/>
        </w:rPr>
        <w:t>2,3</w:t>
      </w:r>
      <w:r>
        <w:rPr>
          <w:rFonts w:ascii="Times New Roman" w:hAnsi="Times New Roman" w:cs="Times New Roman"/>
          <w:sz w:val="24"/>
          <w:szCs w:val="24"/>
        </w:rPr>
        <w:t xml:space="preserve"> and most of these proceed onto a </w:t>
      </w:r>
      <w:proofErr w:type="spellStart"/>
      <w:r>
        <w:rPr>
          <w:rFonts w:ascii="Times New Roman" w:hAnsi="Times New Roman" w:cs="Times New Roman"/>
          <w:sz w:val="24"/>
          <w:szCs w:val="24"/>
        </w:rPr>
        <w:t>medicalised</w:t>
      </w:r>
      <w:proofErr w:type="spellEnd"/>
      <w:r>
        <w:rPr>
          <w:rFonts w:ascii="Times New Roman" w:hAnsi="Times New Roman" w:cs="Times New Roman"/>
          <w:sz w:val="24"/>
          <w:szCs w:val="24"/>
        </w:rPr>
        <w:t xml:space="preserve"> pathway of puberty blockers and hormones.</w:t>
      </w:r>
      <w:r>
        <w:rPr>
          <w:rFonts w:ascii="Times New Roman" w:hAnsi="Times New Roman" w:cs="Times New Roman"/>
          <w:sz w:val="24"/>
          <w:szCs w:val="24"/>
          <w:vertAlign w:val="superscript"/>
        </w:rPr>
        <w:t>3</w:t>
      </w:r>
      <w:r>
        <w:rPr>
          <w:rFonts w:ascii="Times New Roman" w:hAnsi="Times New Roman" w:cs="Times New Roman"/>
          <w:sz w:val="24"/>
          <w:szCs w:val="24"/>
        </w:rPr>
        <w:t xml:space="preserve">  For example, one study cited in the Review found that 97.5% of those socially transitioned persisted (94% as trans and 3.5% as non-binary) after 5.4 years, and </w:t>
      </w:r>
      <w:r w:rsidR="00532D73">
        <w:rPr>
          <w:rFonts w:ascii="Times New Roman" w:hAnsi="Times New Roman" w:cs="Times New Roman"/>
          <w:sz w:val="24"/>
          <w:szCs w:val="24"/>
        </w:rPr>
        <w:t xml:space="preserve">a </w:t>
      </w:r>
      <w:r>
        <w:rPr>
          <w:rFonts w:ascii="Times New Roman" w:hAnsi="Times New Roman" w:cs="Times New Roman"/>
          <w:sz w:val="24"/>
          <w:szCs w:val="24"/>
        </w:rPr>
        <w:t>total of 71.6 % had proceeded onto the medical pathway, including those already on puberty blockers at the start, by the time the study concluded.</w:t>
      </w:r>
      <w:r>
        <w:rPr>
          <w:rFonts w:ascii="Times New Roman" w:hAnsi="Times New Roman" w:cs="Times New Roman"/>
          <w:sz w:val="24"/>
          <w:szCs w:val="24"/>
          <w:vertAlign w:val="superscript"/>
        </w:rPr>
        <w:t>3</w:t>
      </w:r>
      <w:r>
        <w:rPr>
          <w:rFonts w:ascii="Times New Roman" w:hAnsi="Times New Roman" w:cs="Times New Roman"/>
          <w:sz w:val="24"/>
          <w:szCs w:val="24"/>
        </w:rPr>
        <w:t xml:space="preserve">  The percentage who ultimately go on the medical pathway will undoubtedly be much higher because many had not yet reached the age minimum recommended for medical transition by the time the study concluded.</w:t>
      </w:r>
      <w:r>
        <w:rPr>
          <w:rFonts w:ascii="Times New Roman" w:hAnsi="Times New Roman" w:cs="Times New Roman"/>
          <w:sz w:val="24"/>
          <w:szCs w:val="24"/>
          <w:vertAlign w:val="superscript"/>
        </w:rPr>
        <w:t>3</w:t>
      </w:r>
      <w:r>
        <w:rPr>
          <w:rFonts w:ascii="Times New Roman" w:hAnsi="Times New Roman" w:cs="Times New Roman"/>
          <w:sz w:val="24"/>
          <w:szCs w:val="24"/>
        </w:rPr>
        <w:t xml:space="preserve"> This is in sharp contrast to many studies that have shown that the overwhelming number of children who have felt </w:t>
      </w:r>
      <w:r w:rsidR="00C1022D">
        <w:rPr>
          <w:rFonts w:ascii="Times New Roman" w:hAnsi="Times New Roman" w:cs="Times New Roman"/>
          <w:sz w:val="24"/>
          <w:szCs w:val="24"/>
        </w:rPr>
        <w:t>G</w:t>
      </w:r>
      <w:r>
        <w:rPr>
          <w:rFonts w:ascii="Times New Roman" w:hAnsi="Times New Roman" w:cs="Times New Roman"/>
          <w:sz w:val="24"/>
          <w:szCs w:val="24"/>
        </w:rPr>
        <w:t xml:space="preserve">ender </w:t>
      </w:r>
      <w:proofErr w:type="spellStart"/>
      <w:r w:rsidR="00C1022D">
        <w:rPr>
          <w:rFonts w:ascii="Times New Roman" w:hAnsi="Times New Roman" w:cs="Times New Roman"/>
          <w:sz w:val="24"/>
          <w:szCs w:val="24"/>
        </w:rPr>
        <w:t>Dysphoria</w:t>
      </w:r>
      <w:proofErr w:type="spellEnd"/>
      <w:r>
        <w:rPr>
          <w:rFonts w:ascii="Times New Roman" w:hAnsi="Times New Roman" w:cs="Times New Roman"/>
          <w:sz w:val="24"/>
          <w:szCs w:val="24"/>
        </w:rPr>
        <w:t xml:space="preserve"> outgrow those feelings as they go through puberty if left alone without any intervention.</w:t>
      </w:r>
      <w:r>
        <w:rPr>
          <w:rFonts w:ascii="Times New Roman" w:hAnsi="Times New Roman" w:cs="Times New Roman"/>
          <w:sz w:val="24"/>
          <w:szCs w:val="24"/>
          <w:vertAlign w:val="superscript"/>
        </w:rPr>
        <w:t>4</w:t>
      </w:r>
      <w:r w:rsidRPr="00570220">
        <w:rPr>
          <w:rFonts w:ascii="Times New Roman" w:hAnsi="Times New Roman" w:cs="Times New Roman"/>
          <w:sz w:val="24"/>
          <w:szCs w:val="24"/>
          <w:vertAlign w:val="superscript"/>
        </w:rPr>
        <w:t>,</w:t>
      </w:r>
      <w:r>
        <w:rPr>
          <w:rFonts w:ascii="Times New Roman" w:hAnsi="Times New Roman" w:cs="Times New Roman"/>
          <w:sz w:val="24"/>
          <w:szCs w:val="24"/>
          <w:vertAlign w:val="superscript"/>
        </w:rPr>
        <w:t>5,6,7</w:t>
      </w:r>
      <w:r>
        <w:rPr>
          <w:rFonts w:ascii="Times New Roman" w:hAnsi="Times New Roman" w:cs="Times New Roman"/>
          <w:sz w:val="24"/>
          <w:szCs w:val="24"/>
        </w:rPr>
        <w:t xml:space="preserve"> Even the clinical guidelines from the pro-trans Endocrine Society acknowledges that social transition is associated with increased persistence, whereas only a minority of pre-pubertal children would otherwise persist.</w:t>
      </w:r>
      <w:r>
        <w:rPr>
          <w:rFonts w:ascii="Times New Roman" w:hAnsi="Times New Roman" w:cs="Times New Roman"/>
          <w:sz w:val="24"/>
          <w:szCs w:val="24"/>
          <w:vertAlign w:val="superscript"/>
        </w:rPr>
        <w:t>8</w:t>
      </w:r>
      <w:r>
        <w:rPr>
          <w:rFonts w:ascii="Times New Roman" w:hAnsi="Times New Roman" w:cs="Times New Roman"/>
          <w:sz w:val="24"/>
          <w:szCs w:val="24"/>
        </w:rPr>
        <w:t xml:space="preserve"> There is no objective way to test which patients will persist and which will not,</w:t>
      </w:r>
      <w:r>
        <w:rPr>
          <w:rFonts w:ascii="Times New Roman" w:hAnsi="Times New Roman" w:cs="Times New Roman"/>
          <w:sz w:val="24"/>
          <w:szCs w:val="24"/>
          <w:vertAlign w:val="superscript"/>
        </w:rPr>
        <w:t>8,9</w:t>
      </w:r>
      <w:r>
        <w:rPr>
          <w:rFonts w:ascii="Times New Roman" w:hAnsi="Times New Roman" w:cs="Times New Roman"/>
          <w:sz w:val="24"/>
          <w:szCs w:val="24"/>
        </w:rPr>
        <w:t xml:space="preserve">  Factors associated with persistence or desistance have been identified.</w:t>
      </w:r>
      <w:r w:rsidRPr="00BE672B">
        <w:rPr>
          <w:rFonts w:ascii="Times New Roman" w:hAnsi="Times New Roman" w:cs="Times New Roman"/>
          <w:sz w:val="24"/>
          <w:szCs w:val="24"/>
          <w:vertAlign w:val="superscript"/>
        </w:rPr>
        <w:t>4</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00C1022D">
        <w:rPr>
          <w:rFonts w:ascii="Times New Roman" w:hAnsi="Times New Roman" w:cs="Times New Roman"/>
          <w:sz w:val="24"/>
          <w:szCs w:val="24"/>
        </w:rPr>
        <w:t>S</w:t>
      </w:r>
      <w:r>
        <w:rPr>
          <w:rFonts w:ascii="Times New Roman" w:hAnsi="Times New Roman" w:cs="Times New Roman"/>
          <w:sz w:val="24"/>
          <w:szCs w:val="24"/>
        </w:rPr>
        <w:t xml:space="preserve">ome argue that the high persistence rates were because those who had the strongest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xml:space="preserve"> were most likely to socially transition.</w:t>
      </w:r>
      <w:r w:rsidRPr="00BE672B">
        <w:rPr>
          <w:rFonts w:ascii="Times New Roman" w:hAnsi="Times New Roman" w:cs="Times New Roman"/>
          <w:sz w:val="24"/>
          <w:szCs w:val="24"/>
          <w:vertAlign w:val="superscript"/>
        </w:rPr>
        <w:t>1,4</w:t>
      </w:r>
      <w:r>
        <w:rPr>
          <w:rFonts w:ascii="Times New Roman" w:hAnsi="Times New Roman" w:cs="Times New Roman"/>
          <w:sz w:val="24"/>
          <w:szCs w:val="24"/>
        </w:rPr>
        <w:t xml:space="preserve">  But this is speculation, because the persistence with social transition has not been compared within the same study with controls without social transition appropriately matched based on some measure of intensity of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The complete switch in persistence rates between the separate studies with and without social transition, coupled with the dramatically increased number of patients who have socially transitioned in recent years</w:t>
      </w:r>
      <w:proofErr w:type="gramStart"/>
      <w:r>
        <w:rPr>
          <w:rFonts w:ascii="Times New Roman" w:hAnsi="Times New Roman" w:cs="Times New Roman"/>
          <w:sz w:val="24"/>
          <w:szCs w:val="24"/>
        </w:rPr>
        <w:t>,</w:t>
      </w:r>
      <w:r w:rsidRPr="00BE672B">
        <w:rPr>
          <w:rFonts w:ascii="Times New Roman" w:hAnsi="Times New Roman" w:cs="Times New Roman"/>
          <w:sz w:val="24"/>
          <w:szCs w:val="24"/>
          <w:vertAlign w:val="superscript"/>
        </w:rPr>
        <w:t>4</w:t>
      </w:r>
      <w:proofErr w:type="gramEnd"/>
      <w:r>
        <w:rPr>
          <w:rFonts w:ascii="Times New Roman" w:hAnsi="Times New Roman" w:cs="Times New Roman"/>
          <w:sz w:val="24"/>
          <w:szCs w:val="24"/>
        </w:rPr>
        <w:t xml:space="preserve"> makes it difficult to place much reliance on this hypothesis. Moreover, this and other factors associated with persistence have been </w:t>
      </w:r>
      <w:r>
        <w:rPr>
          <w:rFonts w:ascii="Times New Roman" w:hAnsi="Times New Roman" w:cs="Times New Roman"/>
          <w:sz w:val="24"/>
          <w:szCs w:val="24"/>
        </w:rPr>
        <w:lastRenderedPageBreak/>
        <w:t>considered of low clinical utility because of the highly variable nature of individual patient presentations.</w:t>
      </w:r>
      <w:r w:rsidRPr="00C67855">
        <w:rPr>
          <w:rFonts w:ascii="Times New Roman" w:hAnsi="Times New Roman" w:cs="Times New Roman"/>
          <w:sz w:val="24"/>
          <w:szCs w:val="24"/>
          <w:vertAlign w:val="superscript"/>
        </w:rPr>
        <w:t>6</w:t>
      </w:r>
    </w:p>
    <w:p w:rsidR="004D77E0" w:rsidRDefault="004D77E0" w:rsidP="004D77E0">
      <w:pPr>
        <w:rPr>
          <w:rFonts w:ascii="Times New Roman" w:hAnsi="Times New Roman" w:cs="Times New Roman"/>
          <w:sz w:val="24"/>
          <w:szCs w:val="24"/>
        </w:rPr>
      </w:pPr>
      <w:r>
        <w:rPr>
          <w:rFonts w:ascii="Times New Roman" w:hAnsi="Times New Roman" w:cs="Times New Roman"/>
          <w:sz w:val="24"/>
          <w:szCs w:val="24"/>
        </w:rPr>
        <w:t xml:space="preserve"> Now, it should be noted that since about 2014, the patient cohort seeking gender treatment has risen exponentially and has also dramatically shifted from almost all pre-pubescent boys to now about 75% or more girls who have already begun puberty and most of whom have psychiatric co-morbidities and/or neurodiversity.</w:t>
      </w:r>
      <w:r w:rsidRPr="0057022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,10  </w:t>
      </w:r>
      <w:r>
        <w:rPr>
          <w:rFonts w:ascii="Times New Roman" w:hAnsi="Times New Roman" w:cs="Times New Roman"/>
          <w:sz w:val="24"/>
          <w:szCs w:val="24"/>
        </w:rPr>
        <w:t xml:space="preserve">For now, there is no data to suggest that this new demographic would not also get over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xml:space="preserve"> without social transition, particularly if their other problems were addressed first.  The Cass Review notes that we do not know how the new patient cohort would have resolved their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xml:space="preserve"> because alternate therapies aimed at reducing distress or no intervention at all have not been tried with this cohort.</w:t>
      </w:r>
      <w:r w:rsidRPr="00457DE2">
        <w:rPr>
          <w:rFonts w:ascii="Times New Roman" w:hAnsi="Times New Roman" w:cs="Times New Roman"/>
          <w:sz w:val="24"/>
          <w:szCs w:val="24"/>
          <w:vertAlign w:val="superscript"/>
        </w:rPr>
        <w:t>1</w:t>
      </w:r>
      <w:r>
        <w:rPr>
          <w:rFonts w:ascii="Times New Roman" w:hAnsi="Times New Roman" w:cs="Times New Roman"/>
          <w:sz w:val="24"/>
          <w:szCs w:val="24"/>
        </w:rPr>
        <w:t xml:space="preserve"> In many settings now, therapy to help young people come to accept their sex and body is banned or at least condemned as a form of conversion therapy.</w:t>
      </w:r>
      <w:r w:rsidRPr="003C6A74">
        <w:rPr>
          <w:rFonts w:ascii="Times New Roman" w:hAnsi="Times New Roman" w:cs="Times New Roman"/>
          <w:sz w:val="24"/>
          <w:szCs w:val="24"/>
          <w:vertAlign w:val="superscript"/>
        </w:rPr>
        <w:t>1</w:t>
      </w:r>
      <w:proofErr w:type="gramStart"/>
      <w:r w:rsidRPr="003C6A74">
        <w:rPr>
          <w:rFonts w:ascii="Times New Roman" w:hAnsi="Times New Roman" w:cs="Times New Roman"/>
          <w:sz w:val="24"/>
          <w:szCs w:val="24"/>
          <w:vertAlign w:val="superscript"/>
        </w:rPr>
        <w:t>,11</w:t>
      </w:r>
      <w:r>
        <w:rPr>
          <w:rFonts w:ascii="Times New Roman" w:hAnsi="Times New Roman" w:cs="Times New Roman"/>
          <w:sz w:val="24"/>
          <w:szCs w:val="24"/>
          <w:vertAlign w:val="superscript"/>
        </w:rPr>
        <w:t>,12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4D77E0" w:rsidRPr="0005172B" w:rsidRDefault="004D77E0" w:rsidP="004D77E0">
      <w:pPr>
        <w:rPr>
          <w:rFonts w:ascii="Times New Roman" w:hAnsi="Times New Roman" w:cs="Times New Roman"/>
          <w:sz w:val="24"/>
          <w:szCs w:val="24"/>
        </w:rPr>
      </w:pPr>
      <w:r>
        <w:rPr>
          <w:rFonts w:ascii="Times New Roman" w:hAnsi="Times New Roman" w:cs="Times New Roman"/>
          <w:sz w:val="24"/>
          <w:szCs w:val="24"/>
        </w:rPr>
        <w:t>Some studies have reported short term improvements in mental health and/or social functioning of students who have socially transitioned.</w:t>
      </w:r>
      <w:r>
        <w:rPr>
          <w:rFonts w:ascii="Times New Roman" w:hAnsi="Times New Roman" w:cs="Times New Roman"/>
          <w:sz w:val="24"/>
          <w:szCs w:val="24"/>
          <w:vertAlign w:val="superscript"/>
        </w:rPr>
        <w:t>13,14</w:t>
      </w:r>
      <w:r>
        <w:rPr>
          <w:rFonts w:ascii="Times New Roman" w:hAnsi="Times New Roman" w:cs="Times New Roman"/>
          <w:sz w:val="24"/>
          <w:szCs w:val="24"/>
        </w:rPr>
        <w:t xml:space="preserve">  However, the Cass Review found that no firm conclusion could be drawn from these studies because they were of low quality.</w:t>
      </w:r>
      <w:r w:rsidRPr="00B31C0A">
        <w:rPr>
          <w:rFonts w:ascii="Times New Roman" w:hAnsi="Times New Roman" w:cs="Times New Roman"/>
          <w:sz w:val="24"/>
          <w:szCs w:val="24"/>
          <w:vertAlign w:val="superscript"/>
        </w:rPr>
        <w:t>1</w:t>
      </w:r>
      <w:r>
        <w:rPr>
          <w:rFonts w:ascii="Times New Roman" w:hAnsi="Times New Roman" w:cs="Times New Roman"/>
          <w:sz w:val="24"/>
          <w:szCs w:val="24"/>
        </w:rPr>
        <w:t xml:space="preserve"> The quality ratings were provided to the Review by a group at the University of York who are expert at rating the quality of scientific and medical studies.</w:t>
      </w:r>
      <w:r w:rsidRPr="00457DE2">
        <w:rPr>
          <w:rFonts w:ascii="Times New Roman" w:hAnsi="Times New Roman" w:cs="Times New Roman"/>
          <w:sz w:val="24"/>
          <w:szCs w:val="24"/>
          <w:vertAlign w:val="superscript"/>
        </w:rPr>
        <w:t>1</w:t>
      </w:r>
      <w:r>
        <w:rPr>
          <w:rFonts w:ascii="Times New Roman" w:hAnsi="Times New Roman" w:cs="Times New Roman"/>
          <w:sz w:val="24"/>
          <w:szCs w:val="24"/>
        </w:rPr>
        <w:t xml:space="preserve"> Other studies,</w:t>
      </w:r>
      <w:r w:rsidRPr="002C4300">
        <w:rPr>
          <w:rFonts w:ascii="Times New Roman" w:hAnsi="Times New Roman" w:cs="Times New Roman"/>
          <w:sz w:val="24"/>
          <w:szCs w:val="24"/>
          <w:vertAlign w:val="superscript"/>
        </w:rPr>
        <w:t>4,</w:t>
      </w:r>
      <w:r>
        <w:rPr>
          <w:rFonts w:ascii="Times New Roman" w:hAnsi="Times New Roman" w:cs="Times New Roman"/>
          <w:sz w:val="24"/>
          <w:szCs w:val="24"/>
          <w:vertAlign w:val="superscript"/>
        </w:rPr>
        <w:t>15,16,17</w:t>
      </w:r>
      <w:r>
        <w:rPr>
          <w:rFonts w:ascii="Times New Roman" w:hAnsi="Times New Roman" w:cs="Times New Roman"/>
          <w:sz w:val="24"/>
          <w:szCs w:val="24"/>
        </w:rPr>
        <w:t xml:space="preserve"> including two rated as moderate quality,</w:t>
      </w:r>
      <w:r w:rsidRPr="002C4300">
        <w:rPr>
          <w:rFonts w:ascii="Times New Roman" w:hAnsi="Times New Roman" w:cs="Times New Roman"/>
          <w:sz w:val="24"/>
          <w:szCs w:val="24"/>
          <w:vertAlign w:val="superscript"/>
        </w:rPr>
        <w:t>4,</w:t>
      </w:r>
      <w:r w:rsidRPr="00382DF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reported no improvement in mental health from social transition.  In the latter paper (recently published and not rated in the Cass Review), the authors, one of whom was a top manager of the </w:t>
      </w:r>
      <w:proofErr w:type="spellStart"/>
      <w:r>
        <w:rPr>
          <w:rFonts w:ascii="Times New Roman" w:hAnsi="Times New Roman" w:cs="Times New Roman"/>
          <w:sz w:val="24"/>
          <w:szCs w:val="24"/>
        </w:rPr>
        <w:t>Tavistock</w:t>
      </w:r>
      <w:proofErr w:type="spellEnd"/>
      <w:r>
        <w:rPr>
          <w:rFonts w:ascii="Times New Roman" w:hAnsi="Times New Roman" w:cs="Times New Roman"/>
          <w:sz w:val="24"/>
          <w:szCs w:val="24"/>
        </w:rPr>
        <w:t xml:space="preserve"> Gender clinic in England before it was shut down, caution that their results should not be taken as proof that there is no benefit to social transition.</w:t>
      </w:r>
      <w:r w:rsidRPr="002C430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Pr>
          <w:rFonts w:ascii="Times New Roman" w:hAnsi="Times New Roman" w:cs="Times New Roman"/>
          <w:sz w:val="24"/>
          <w:szCs w:val="24"/>
        </w:rPr>
        <w:t xml:space="preserve">  But yet no clear benefit has been demonstrated. (It is interesting to note that the time from when this paper was initially submitted to the journal until its acceptance was nearly four </w:t>
      </w:r>
      <w:proofErr w:type="gramStart"/>
      <w:r>
        <w:rPr>
          <w:rFonts w:ascii="Times New Roman" w:hAnsi="Times New Roman" w:cs="Times New Roman"/>
          <w:sz w:val="24"/>
          <w:szCs w:val="24"/>
        </w:rPr>
        <w:t>years.</w:t>
      </w:r>
      <w:r w:rsidRPr="0018125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Pr>
          <w:rFonts w:ascii="Times New Roman" w:hAnsi="Times New Roman" w:cs="Times New Roman"/>
          <w:sz w:val="24"/>
          <w:szCs w:val="24"/>
        </w:rPr>
        <w:t xml:space="preserve">  Anyone</w:t>
      </w:r>
      <w:proofErr w:type="gramEnd"/>
      <w:r>
        <w:rPr>
          <w:rFonts w:ascii="Times New Roman" w:hAnsi="Times New Roman" w:cs="Times New Roman"/>
          <w:sz w:val="24"/>
          <w:szCs w:val="24"/>
        </w:rPr>
        <w:t xml:space="preserve"> experienced in the peer review process for scientific or medical journals would suspect that this length of time before acceptance indicates that there was serious contention between the reviewers, authors, and editor over some aspects of the study, and/or its conclusions, and/or citations of competing views.)  Some leading figures in the field of psychiatry who are not opposed to transgender identities and who have treated many patients, have raised very strong ethical and medical opposition to the gender-affirming care model for minors.</w:t>
      </w:r>
      <w:r w:rsidRPr="004F4BC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4F4BC8">
        <w:rPr>
          <w:rFonts w:ascii="Times New Roman" w:hAnsi="Times New Roman" w:cs="Times New Roman"/>
          <w:sz w:val="24"/>
          <w:szCs w:val="24"/>
          <w:vertAlign w:val="superscript"/>
        </w:rPr>
        <w:t>, 1</w:t>
      </w:r>
      <w:r>
        <w:rPr>
          <w:rFonts w:ascii="Times New Roman" w:hAnsi="Times New Roman" w:cs="Times New Roman"/>
          <w:sz w:val="24"/>
          <w:szCs w:val="24"/>
          <w:vertAlign w:val="superscript"/>
        </w:rPr>
        <w:t>9, 20</w:t>
      </w:r>
      <w:r>
        <w:rPr>
          <w:rFonts w:ascii="Times New Roman" w:hAnsi="Times New Roman" w:cs="Times New Roman"/>
          <w:sz w:val="24"/>
          <w:szCs w:val="24"/>
        </w:rPr>
        <w:t xml:space="preserve"> Many rank-and-file clinicians, who went to work at the now shuttered </w:t>
      </w:r>
      <w:proofErr w:type="spellStart"/>
      <w:r>
        <w:rPr>
          <w:rFonts w:ascii="Times New Roman" w:hAnsi="Times New Roman" w:cs="Times New Roman"/>
          <w:sz w:val="24"/>
          <w:szCs w:val="24"/>
        </w:rPr>
        <w:t>Tavistock</w:t>
      </w:r>
      <w:proofErr w:type="spellEnd"/>
      <w:r>
        <w:rPr>
          <w:rFonts w:ascii="Times New Roman" w:hAnsi="Times New Roman" w:cs="Times New Roman"/>
          <w:sz w:val="24"/>
          <w:szCs w:val="24"/>
        </w:rPr>
        <w:t xml:space="preserve"> clinic because they wanted to help transgender youth,  reported grave concerns that they were actually harming their young patients, many of whom presented at the clinic already fully socially transitioned from school with their hearts set on getting puberty blockers and hormones, when clinicians referred those young patients for the said medical treatments.</w:t>
      </w:r>
      <w:r>
        <w:rPr>
          <w:rFonts w:ascii="Times New Roman" w:hAnsi="Times New Roman" w:cs="Times New Roman"/>
          <w:sz w:val="24"/>
          <w:szCs w:val="24"/>
          <w:vertAlign w:val="superscript"/>
        </w:rPr>
        <w:t>21</w:t>
      </w:r>
    </w:p>
    <w:p w:rsidR="004D77E0" w:rsidRDefault="004D77E0" w:rsidP="004D77E0">
      <w:pPr>
        <w:rPr>
          <w:rFonts w:ascii="Times New Roman" w:hAnsi="Times New Roman" w:cs="Times New Roman"/>
          <w:sz w:val="24"/>
          <w:szCs w:val="24"/>
        </w:rPr>
      </w:pPr>
      <w:r>
        <w:rPr>
          <w:rFonts w:ascii="Times New Roman" w:hAnsi="Times New Roman" w:cs="Times New Roman"/>
          <w:sz w:val="24"/>
          <w:szCs w:val="24"/>
        </w:rPr>
        <w:t xml:space="preserve">The Cass Review did not recommend an outright prohibition of social transition in schools but recommended that it be done with </w:t>
      </w:r>
      <w:r w:rsidRPr="0005172B">
        <w:rPr>
          <w:rFonts w:ascii="Times New Roman" w:hAnsi="Times New Roman" w:cs="Times New Roman"/>
          <w:i/>
          <w:sz w:val="24"/>
          <w:szCs w:val="24"/>
        </w:rPr>
        <w:t>extreme caution</w:t>
      </w:r>
      <w:r>
        <w:rPr>
          <w:rFonts w:ascii="Times New Roman" w:hAnsi="Times New Roman" w:cs="Times New Roman"/>
          <w:sz w:val="24"/>
          <w:szCs w:val="24"/>
        </w:rPr>
        <w:t xml:space="preserve"> only under supervision of a clinician, and only after addressing other mental health issues, and only with involvement of parents.</w:t>
      </w:r>
      <w:r w:rsidRPr="00BA76BB">
        <w:rPr>
          <w:rFonts w:ascii="Times New Roman" w:hAnsi="Times New Roman" w:cs="Times New Roman"/>
          <w:sz w:val="24"/>
          <w:szCs w:val="24"/>
          <w:vertAlign w:val="superscript"/>
        </w:rPr>
        <w:t>1</w:t>
      </w:r>
      <w:r>
        <w:rPr>
          <w:rFonts w:ascii="Times New Roman" w:hAnsi="Times New Roman" w:cs="Times New Roman"/>
          <w:sz w:val="24"/>
          <w:szCs w:val="24"/>
        </w:rPr>
        <w:t xml:space="preserve">  Note that the State of California has definitively taken the opposite approach on this last point after Governor Newsom signed into law AB 1955 which prohibits local school boards from requiring </w:t>
      </w:r>
      <w:r>
        <w:rPr>
          <w:rFonts w:ascii="Times New Roman" w:hAnsi="Times New Roman" w:cs="Times New Roman"/>
          <w:sz w:val="24"/>
          <w:szCs w:val="24"/>
        </w:rPr>
        <w:lastRenderedPageBreak/>
        <w:t>that parents be informed of their child changing their gender identity in school</w:t>
      </w:r>
      <w:r w:rsidR="00E36821">
        <w:rPr>
          <w:rFonts w:ascii="Times New Roman" w:hAnsi="Times New Roman" w:cs="Times New Roman"/>
          <w:sz w:val="24"/>
          <w:szCs w:val="24"/>
        </w:rPr>
        <w:t>.</w:t>
      </w:r>
      <w:r w:rsidR="00E36821">
        <w:rPr>
          <w:rFonts w:ascii="Times New Roman" w:hAnsi="Times New Roman" w:cs="Times New Roman"/>
          <w:sz w:val="24"/>
          <w:szCs w:val="24"/>
          <w:vertAlign w:val="superscript"/>
        </w:rPr>
        <w:t>22</w:t>
      </w:r>
      <w:r>
        <w:rPr>
          <w:rFonts w:ascii="Times New Roman" w:hAnsi="Times New Roman" w:cs="Times New Roman"/>
          <w:sz w:val="24"/>
          <w:szCs w:val="24"/>
        </w:rPr>
        <w:t xml:space="preserve">  Thus in California, everyone including administrators, teachers, and other students will know a child is socially transitioning, but not the child’s parents!!!  This has already been </w:t>
      </w:r>
      <w:proofErr w:type="spellStart"/>
      <w:r w:rsidRPr="00A33A8F">
        <w:rPr>
          <w:rFonts w:ascii="Times New Roman" w:hAnsi="Times New Roman" w:cs="Times New Roman"/>
          <w:i/>
          <w:sz w:val="24"/>
          <w:szCs w:val="24"/>
        </w:rPr>
        <w:t>defacto</w:t>
      </w:r>
      <w:proofErr w:type="spellEnd"/>
      <w:r>
        <w:rPr>
          <w:rFonts w:ascii="Times New Roman" w:hAnsi="Times New Roman" w:cs="Times New Roman"/>
          <w:sz w:val="24"/>
          <w:szCs w:val="24"/>
        </w:rPr>
        <w:t xml:space="preserve"> policy in many locales even though legislative approval has not been given and people have not voted for it.</w:t>
      </w:r>
    </w:p>
    <w:p w:rsidR="004D77E0" w:rsidRDefault="004D77E0" w:rsidP="004D77E0">
      <w:pPr>
        <w:rPr>
          <w:rFonts w:ascii="Times New Roman" w:hAnsi="Times New Roman" w:cs="Times New Roman"/>
          <w:sz w:val="24"/>
          <w:szCs w:val="24"/>
        </w:rPr>
      </w:pPr>
      <w:r>
        <w:rPr>
          <w:rFonts w:ascii="Times New Roman" w:hAnsi="Times New Roman" w:cs="Times New Roman"/>
          <w:sz w:val="24"/>
          <w:szCs w:val="24"/>
        </w:rPr>
        <w:t xml:space="preserve">In summary, the preponderance of evidence shows that the strong majority of children will outgrow Gender </w:t>
      </w:r>
      <w:proofErr w:type="spellStart"/>
      <w:r>
        <w:rPr>
          <w:rFonts w:ascii="Times New Roman" w:hAnsi="Times New Roman" w:cs="Times New Roman"/>
          <w:sz w:val="24"/>
          <w:szCs w:val="24"/>
        </w:rPr>
        <w:t>Dysphoria</w:t>
      </w:r>
      <w:proofErr w:type="spellEnd"/>
      <w:r>
        <w:rPr>
          <w:rFonts w:ascii="Times New Roman" w:hAnsi="Times New Roman" w:cs="Times New Roman"/>
          <w:sz w:val="24"/>
          <w:szCs w:val="24"/>
        </w:rPr>
        <w:t xml:space="preserve"> as they go through puberty if left alone, or perhaps were to receive alternative talk therapy and treatment for their mental health problems.  But if they are socially transitioned, there is a very high probability that they will persist and go onto life-altering and life-long medical treatments that involve iatrogenic harms and side effects without ever having felt or experienced their natal gender i</w:t>
      </w:r>
      <w:r w:rsidRPr="00865604">
        <w:rPr>
          <w:rFonts w:ascii="Times New Roman" w:hAnsi="Times New Roman" w:cs="Times New Roman"/>
          <w:sz w:val="24"/>
          <w:szCs w:val="24"/>
        </w:rPr>
        <w:t xml:space="preserve">n maturity after </w:t>
      </w:r>
      <w:r>
        <w:rPr>
          <w:rFonts w:ascii="Times New Roman" w:hAnsi="Times New Roman" w:cs="Times New Roman"/>
          <w:sz w:val="24"/>
          <w:szCs w:val="24"/>
        </w:rPr>
        <w:t xml:space="preserve">completing </w:t>
      </w:r>
      <w:r w:rsidRPr="00865604">
        <w:rPr>
          <w:rFonts w:ascii="Times New Roman" w:hAnsi="Times New Roman" w:cs="Times New Roman"/>
          <w:sz w:val="24"/>
          <w:szCs w:val="24"/>
        </w:rPr>
        <w:t>puberty</w:t>
      </w:r>
      <w:r>
        <w:rPr>
          <w:rFonts w:ascii="Times New Roman" w:hAnsi="Times New Roman" w:cs="Times New Roman"/>
          <w:sz w:val="24"/>
          <w:szCs w:val="24"/>
        </w:rPr>
        <w:t>.  Moreover, there is little to no evidence that social transition improves psychological functioning or mental health.  It is therefore hard to see how social transition could be medically indicated</w:t>
      </w:r>
      <w:r w:rsidR="00B1581C">
        <w:rPr>
          <w:rFonts w:ascii="Times New Roman" w:hAnsi="Times New Roman" w:cs="Times New Roman"/>
          <w:sz w:val="24"/>
          <w:szCs w:val="24"/>
        </w:rPr>
        <w:t xml:space="preserve">.  If public schools </w:t>
      </w:r>
      <w:r w:rsidR="00E36821">
        <w:rPr>
          <w:rFonts w:ascii="Times New Roman" w:hAnsi="Times New Roman" w:cs="Times New Roman"/>
          <w:sz w:val="24"/>
          <w:szCs w:val="24"/>
        </w:rPr>
        <w:t xml:space="preserve">truly </w:t>
      </w:r>
      <w:r w:rsidR="00B1581C">
        <w:rPr>
          <w:rFonts w:ascii="Times New Roman" w:hAnsi="Times New Roman" w:cs="Times New Roman"/>
          <w:sz w:val="24"/>
          <w:szCs w:val="24"/>
        </w:rPr>
        <w:t>w</w:t>
      </w:r>
      <w:r w:rsidR="00E36821">
        <w:rPr>
          <w:rFonts w:ascii="Times New Roman" w:hAnsi="Times New Roman" w:cs="Times New Roman"/>
          <w:sz w:val="24"/>
          <w:szCs w:val="24"/>
        </w:rPr>
        <w:t>ant</w:t>
      </w:r>
      <w:r w:rsidR="00B1581C">
        <w:rPr>
          <w:rFonts w:ascii="Times New Roman" w:hAnsi="Times New Roman" w:cs="Times New Roman"/>
          <w:sz w:val="24"/>
          <w:szCs w:val="24"/>
        </w:rPr>
        <w:t xml:space="preserve"> to protect </w:t>
      </w:r>
      <w:proofErr w:type="gramStart"/>
      <w:r w:rsidR="00B1581C">
        <w:rPr>
          <w:rFonts w:ascii="Times New Roman" w:hAnsi="Times New Roman" w:cs="Times New Roman"/>
          <w:sz w:val="24"/>
          <w:szCs w:val="24"/>
        </w:rPr>
        <w:t>trans</w:t>
      </w:r>
      <w:proofErr w:type="gramEnd"/>
      <w:r w:rsidR="00B1581C">
        <w:rPr>
          <w:rFonts w:ascii="Times New Roman" w:hAnsi="Times New Roman" w:cs="Times New Roman"/>
          <w:sz w:val="24"/>
          <w:szCs w:val="24"/>
        </w:rPr>
        <w:t xml:space="preserve"> kids, they</w:t>
      </w:r>
      <w:r>
        <w:rPr>
          <w:rFonts w:ascii="Times New Roman" w:hAnsi="Times New Roman" w:cs="Times New Roman"/>
          <w:sz w:val="24"/>
          <w:szCs w:val="24"/>
        </w:rPr>
        <w:t xml:space="preserve"> should not implement</w:t>
      </w:r>
      <w:r w:rsidR="00B1581C">
        <w:rPr>
          <w:rFonts w:ascii="Times New Roman" w:hAnsi="Times New Roman" w:cs="Times New Roman"/>
          <w:sz w:val="24"/>
          <w:szCs w:val="24"/>
        </w:rPr>
        <w:t xml:space="preserve"> social transition</w:t>
      </w:r>
      <w:r>
        <w:rPr>
          <w:rFonts w:ascii="Times New Roman" w:hAnsi="Times New Roman" w:cs="Times New Roman"/>
          <w:sz w:val="24"/>
          <w:szCs w:val="24"/>
        </w:rPr>
        <w:t xml:space="preserve">.  </w:t>
      </w:r>
    </w:p>
    <w:p w:rsidR="004D77E0" w:rsidRPr="00D7711F" w:rsidRDefault="004D77E0" w:rsidP="004D77E0">
      <w:pPr>
        <w:rPr>
          <w:rFonts w:ascii="Times New Roman" w:hAnsi="Times New Roman" w:cs="Times New Roman"/>
          <w:b/>
          <w:sz w:val="24"/>
          <w:szCs w:val="24"/>
        </w:rPr>
      </w:pPr>
      <w:r w:rsidRPr="00D7711F">
        <w:rPr>
          <w:rFonts w:ascii="Times New Roman" w:hAnsi="Times New Roman" w:cs="Times New Roman"/>
          <w:b/>
          <w:sz w:val="24"/>
          <w:szCs w:val="24"/>
        </w:rPr>
        <w:t>References</w:t>
      </w:r>
    </w:p>
    <w:p w:rsidR="004D77E0" w:rsidRPr="006B1CC4" w:rsidRDefault="004D77E0" w:rsidP="004D77E0">
      <w:pPr>
        <w:pStyle w:val="ListParagraph"/>
      </w:pPr>
      <w:r w:rsidRPr="002F1A0F">
        <w:t xml:space="preserve"> </w:t>
      </w:r>
      <w:hyperlink r:id="rId6" w:history="1">
        <w:r w:rsidRPr="002F1A0F">
          <w:rPr>
            <w:rStyle w:val="Hyperlink"/>
          </w:rPr>
          <w:t>https://cass.independent-review.uk/home/publications/final-report/</w:t>
        </w:r>
      </w:hyperlink>
    </w:p>
    <w:p w:rsidR="004D77E0" w:rsidRDefault="004D77E0" w:rsidP="004D77E0">
      <w:pPr>
        <w:pStyle w:val="ListParagraph"/>
      </w:pPr>
      <w:proofErr w:type="spellStart"/>
      <w:r w:rsidRPr="0039092A">
        <w:t>Zucker</w:t>
      </w:r>
      <w:proofErr w:type="spellEnd"/>
      <w:r w:rsidRPr="0039092A">
        <w:t>,</w:t>
      </w:r>
      <w:r w:rsidR="00FA0CA8">
        <w:t xml:space="preserve"> K. J.</w:t>
      </w:r>
      <w:r w:rsidRPr="0039092A">
        <w:t xml:space="preserve"> </w:t>
      </w:r>
      <w:r w:rsidRPr="00FA0CA8">
        <w:rPr>
          <w:iCs/>
        </w:rPr>
        <w:t>Debate: Different Strokes for Different Folks</w:t>
      </w:r>
      <w:r w:rsidR="00FA0CA8">
        <w:t>.</w:t>
      </w:r>
      <w:r w:rsidRPr="0039092A">
        <w:t xml:space="preserve"> </w:t>
      </w:r>
      <w:r w:rsidR="00FA0CA8">
        <w:rPr>
          <w:i/>
        </w:rPr>
        <w:t>Child &amp; Adolescent Mental Health</w:t>
      </w:r>
      <w:r w:rsidR="00FA0CA8">
        <w:t xml:space="preserve"> </w:t>
      </w:r>
      <w:r w:rsidR="00FA0CA8" w:rsidRPr="00FA0CA8">
        <w:rPr>
          <w:b/>
        </w:rPr>
        <w:t>2020</w:t>
      </w:r>
      <w:r w:rsidR="00FA0CA8">
        <w:t xml:space="preserve">, </w:t>
      </w:r>
      <w:r w:rsidR="00FA0CA8" w:rsidRPr="00FA0CA8">
        <w:rPr>
          <w:i/>
        </w:rPr>
        <w:t>25</w:t>
      </w:r>
      <w:r w:rsidR="00FA0CA8">
        <w:rPr>
          <w:i/>
        </w:rPr>
        <w:t xml:space="preserve">, </w:t>
      </w:r>
      <w:r w:rsidR="004B10BF">
        <w:t xml:space="preserve">36 </w:t>
      </w:r>
      <w:r w:rsidRPr="00AD60FF">
        <w:t>at 36–37</w:t>
      </w:r>
      <w:r>
        <w:t>. Available at https://</w:t>
      </w:r>
      <w:r w:rsidRPr="009A31D0">
        <w:t>doi: 10.1111/camh.12330</w:t>
      </w:r>
    </w:p>
    <w:p w:rsidR="004D77E0" w:rsidRPr="00D7711F" w:rsidRDefault="004D77E0" w:rsidP="004D77E0">
      <w:pPr>
        <w:pStyle w:val="ListParagraph"/>
        <w:rPr>
          <w:rStyle w:val="fontstyle01"/>
          <w:rFonts w:ascii="Times New Roman" w:hAnsi="Times New Roman"/>
          <w:color w:val="auto"/>
          <w:sz w:val="24"/>
          <w:szCs w:val="24"/>
        </w:rPr>
      </w:pPr>
      <w:r w:rsidRPr="006B1CC4">
        <w:t>Olson</w:t>
      </w:r>
      <w:r w:rsidR="00FA0CA8">
        <w:t>, K. R.</w:t>
      </w:r>
      <w:r w:rsidRPr="006B1CC4">
        <w:t xml:space="preserve"> et al. </w:t>
      </w:r>
      <w:r w:rsidRPr="00FA0CA8">
        <w:rPr>
          <w:iCs/>
        </w:rPr>
        <w:t xml:space="preserve">Gender Identity 5 Years </w:t>
      </w:r>
      <w:proofErr w:type="gramStart"/>
      <w:r w:rsidRPr="00FA0CA8">
        <w:rPr>
          <w:iCs/>
        </w:rPr>
        <w:t>After</w:t>
      </w:r>
      <w:proofErr w:type="gramEnd"/>
      <w:r w:rsidRPr="00FA0CA8">
        <w:rPr>
          <w:iCs/>
        </w:rPr>
        <w:t xml:space="preserve"> Social Transition</w:t>
      </w:r>
      <w:r w:rsidR="00FA0CA8">
        <w:t>.</w:t>
      </w:r>
      <w:r w:rsidRPr="006B1CC4">
        <w:t xml:space="preserve"> </w:t>
      </w:r>
      <w:r w:rsidR="003171E3" w:rsidRPr="003171E3">
        <w:rPr>
          <w:i/>
        </w:rPr>
        <w:t>Pediatrics</w:t>
      </w:r>
      <w:r w:rsidR="003171E3">
        <w:t xml:space="preserve"> </w:t>
      </w:r>
      <w:r w:rsidR="003171E3" w:rsidRPr="003171E3">
        <w:rPr>
          <w:b/>
        </w:rPr>
        <w:t>2020</w:t>
      </w:r>
      <w:r w:rsidR="003171E3">
        <w:t xml:space="preserve">, </w:t>
      </w:r>
      <w:r w:rsidR="003171E3">
        <w:rPr>
          <w:i/>
        </w:rPr>
        <w:t>150</w:t>
      </w:r>
      <w:r w:rsidR="003171E3">
        <w:t>,</w:t>
      </w:r>
      <w:r w:rsidRPr="006B1CC4">
        <w:t xml:space="preserve"> 1</w:t>
      </w:r>
      <w:r w:rsidR="00702E66">
        <w:t>-7</w:t>
      </w:r>
      <w:r w:rsidR="003171E3">
        <w:t xml:space="preserve">.  Available at </w:t>
      </w:r>
      <w:hyperlink r:id="rId7" w:history="1">
        <w:r w:rsidRPr="00BB0022">
          <w:rPr>
            <w:rStyle w:val="Hyperlink"/>
          </w:rPr>
          <w:t>https://doi.org/10.1542/peds.2021-056082</w:t>
        </w:r>
      </w:hyperlink>
    </w:p>
    <w:p w:rsidR="004D77E0" w:rsidRDefault="004D77E0" w:rsidP="004D77E0">
      <w:pPr>
        <w:pStyle w:val="ListParagraph"/>
      </w:pPr>
      <w:proofErr w:type="spellStart"/>
      <w:r w:rsidRPr="006D67AA">
        <w:t>Steensma</w:t>
      </w:r>
      <w:proofErr w:type="spellEnd"/>
      <w:r w:rsidRPr="006D67AA">
        <w:t>, T., et al</w:t>
      </w:r>
      <w:r w:rsidR="003171E3">
        <w:t>.</w:t>
      </w:r>
      <w:r w:rsidRPr="006D67AA">
        <w:t xml:space="preserve"> </w:t>
      </w:r>
      <w:r w:rsidRPr="003171E3">
        <w:rPr>
          <w:iCs/>
        </w:rPr>
        <w:t xml:space="preserve">Factors Associated with Desistence and Persistence of Childhood Gender </w:t>
      </w:r>
      <w:proofErr w:type="spellStart"/>
      <w:r w:rsidRPr="003171E3">
        <w:rPr>
          <w:iCs/>
        </w:rPr>
        <w:t>Dysphoria</w:t>
      </w:r>
      <w:proofErr w:type="spellEnd"/>
      <w:r w:rsidRPr="003171E3">
        <w:rPr>
          <w:iCs/>
        </w:rPr>
        <w:t>: A Quantitative Follow-Up</w:t>
      </w:r>
      <w:r w:rsidRPr="006D67AA">
        <w:rPr>
          <w:i/>
          <w:iCs/>
        </w:rPr>
        <w:t xml:space="preserve"> </w:t>
      </w:r>
      <w:r w:rsidRPr="003171E3">
        <w:rPr>
          <w:iCs/>
        </w:rPr>
        <w:t>Study</w:t>
      </w:r>
      <w:r w:rsidR="003171E3">
        <w:t>.</w:t>
      </w:r>
      <w:r w:rsidRPr="006D67AA">
        <w:t xml:space="preserve"> </w:t>
      </w:r>
      <w:r w:rsidR="003171E3">
        <w:t xml:space="preserve"> </w:t>
      </w:r>
      <w:r w:rsidRPr="003171E3">
        <w:rPr>
          <w:i/>
        </w:rPr>
        <w:t>J. Am. Acad. of Child &amp; Adolescent Psychiatry</w:t>
      </w:r>
      <w:r w:rsidRPr="006D67AA">
        <w:t xml:space="preserve"> </w:t>
      </w:r>
      <w:r w:rsidR="003171E3" w:rsidRPr="003171E3">
        <w:rPr>
          <w:b/>
        </w:rPr>
        <w:t>2013</w:t>
      </w:r>
      <w:r w:rsidR="003171E3">
        <w:t xml:space="preserve">, </w:t>
      </w:r>
      <w:r w:rsidRPr="003171E3">
        <w:rPr>
          <w:i/>
        </w:rPr>
        <w:t>52</w:t>
      </w:r>
      <w:r w:rsidR="003171E3">
        <w:t xml:space="preserve">, </w:t>
      </w:r>
      <w:r w:rsidRPr="006D67AA">
        <w:t>582-90</w:t>
      </w:r>
      <w:r w:rsidR="003171E3">
        <w:t>.</w:t>
      </w:r>
      <w:r w:rsidRPr="006D67AA">
        <w:t xml:space="preserve"> </w:t>
      </w:r>
      <w:r>
        <w:t xml:space="preserve">Available at </w:t>
      </w:r>
      <w:hyperlink r:id="rId8" w:history="1">
        <w:r w:rsidRPr="00A9146A">
          <w:rPr>
            <w:rStyle w:val="Hyperlink"/>
          </w:rPr>
          <w:t>https://doi.org/10.1016/j.jaac.2013.03.016</w:t>
        </w:r>
      </w:hyperlink>
    </w:p>
    <w:p w:rsidR="004D77E0" w:rsidRPr="004E2054" w:rsidRDefault="004D77E0" w:rsidP="004D77E0">
      <w:pPr>
        <w:pStyle w:val="ListParagraph"/>
      </w:pPr>
      <w:proofErr w:type="spellStart"/>
      <w:r>
        <w:t>Steensma</w:t>
      </w:r>
      <w:proofErr w:type="spellEnd"/>
      <w:r>
        <w:t xml:space="preserve">, T. D., </w:t>
      </w:r>
      <w:proofErr w:type="spellStart"/>
      <w:r>
        <w:t>Kreukels</w:t>
      </w:r>
      <w:proofErr w:type="spellEnd"/>
      <w:r>
        <w:t xml:space="preserve">, B.P., de </w:t>
      </w:r>
      <w:proofErr w:type="spellStart"/>
      <w:r>
        <w:t>Vries</w:t>
      </w:r>
      <w:proofErr w:type="spellEnd"/>
      <w:r>
        <w:t>, A.L, Cohen-</w:t>
      </w:r>
      <w:proofErr w:type="spellStart"/>
      <w:r>
        <w:t>Kettenis</w:t>
      </w:r>
      <w:proofErr w:type="spellEnd"/>
      <w:r>
        <w:t xml:space="preserve">, P.T. </w:t>
      </w:r>
      <w:r w:rsidRPr="003171E3">
        <w:t>Gender Identity Development in Adolescents</w:t>
      </w:r>
      <w:r w:rsidR="003171E3" w:rsidRPr="003171E3">
        <w:t>.</w:t>
      </w:r>
      <w:r w:rsidRPr="003171E3">
        <w:t xml:space="preserve"> </w:t>
      </w:r>
      <w:r w:rsidR="003171E3" w:rsidRPr="003171E3">
        <w:rPr>
          <w:i/>
        </w:rPr>
        <w:t xml:space="preserve">Hormones and </w:t>
      </w:r>
      <w:proofErr w:type="spellStart"/>
      <w:r w:rsidR="003171E3" w:rsidRPr="003171E3">
        <w:rPr>
          <w:i/>
        </w:rPr>
        <w:t>Behavoir</w:t>
      </w:r>
      <w:proofErr w:type="spellEnd"/>
      <w:r>
        <w:t xml:space="preserve"> </w:t>
      </w:r>
      <w:r w:rsidRPr="003171E3">
        <w:rPr>
          <w:b/>
        </w:rPr>
        <w:t>2013</w:t>
      </w:r>
      <w:r>
        <w:t xml:space="preserve">, </w:t>
      </w:r>
      <w:r w:rsidRPr="003171E3">
        <w:rPr>
          <w:b/>
          <w:i/>
        </w:rPr>
        <w:t>64</w:t>
      </w:r>
      <w:r>
        <w:t xml:space="preserve">, 288-297.  </w:t>
      </w:r>
    </w:p>
    <w:p w:rsidR="004D77E0" w:rsidRDefault="004D77E0" w:rsidP="004D77E0">
      <w:pPr>
        <w:pStyle w:val="ListParagraph"/>
      </w:pPr>
      <w:proofErr w:type="spellStart"/>
      <w:r w:rsidRPr="001124ED">
        <w:t>Ristori</w:t>
      </w:r>
      <w:proofErr w:type="spellEnd"/>
      <w:r w:rsidR="004B10BF">
        <w:t>, J. and</w:t>
      </w:r>
      <w:r w:rsidRPr="001124ED">
        <w:t xml:space="preserve"> &amp; </w:t>
      </w:r>
      <w:proofErr w:type="spellStart"/>
      <w:r w:rsidRPr="001124ED">
        <w:t>Steensm</w:t>
      </w:r>
      <w:r w:rsidR="004B10BF">
        <w:t>a</w:t>
      </w:r>
      <w:proofErr w:type="spellEnd"/>
      <w:r w:rsidR="004B10BF">
        <w:t>, T.</w:t>
      </w:r>
      <w:r w:rsidRPr="001124ED">
        <w:t xml:space="preserve"> </w:t>
      </w:r>
      <w:r w:rsidRPr="004B10BF">
        <w:rPr>
          <w:iCs/>
        </w:rPr>
        <w:t xml:space="preserve">Gender </w:t>
      </w:r>
      <w:proofErr w:type="spellStart"/>
      <w:r w:rsidRPr="004B10BF">
        <w:rPr>
          <w:iCs/>
        </w:rPr>
        <w:t>Dysphoria</w:t>
      </w:r>
      <w:proofErr w:type="spellEnd"/>
      <w:r w:rsidRPr="004B10BF">
        <w:rPr>
          <w:iCs/>
        </w:rPr>
        <w:t xml:space="preserve"> in Childhood</w:t>
      </w:r>
      <w:r w:rsidR="004B10BF">
        <w:t>.</w:t>
      </w:r>
      <w:r w:rsidRPr="001124ED">
        <w:t xml:space="preserve"> </w:t>
      </w:r>
      <w:r w:rsidR="004B10BF" w:rsidRPr="004B10BF">
        <w:rPr>
          <w:i/>
        </w:rPr>
        <w:t>Int’l Rev. Psychiatry</w:t>
      </w:r>
      <w:r w:rsidR="004B10BF">
        <w:rPr>
          <w:b/>
        </w:rPr>
        <w:t xml:space="preserve"> 2016</w:t>
      </w:r>
      <w:r w:rsidRPr="001124ED">
        <w:t xml:space="preserve"> </w:t>
      </w:r>
      <w:r w:rsidR="004B10BF">
        <w:rPr>
          <w:i/>
        </w:rPr>
        <w:t xml:space="preserve">28, </w:t>
      </w:r>
      <w:r w:rsidR="004B10BF">
        <w:t>13–20.</w:t>
      </w:r>
      <w:r w:rsidRPr="001124ED">
        <w:t xml:space="preserve"> </w:t>
      </w:r>
    </w:p>
    <w:p w:rsidR="004D77E0" w:rsidRDefault="004D77E0" w:rsidP="004D77E0">
      <w:pPr>
        <w:pStyle w:val="ListParagraph"/>
      </w:pPr>
      <w:r w:rsidRPr="001124ED">
        <w:t>Singh</w:t>
      </w:r>
      <w:r w:rsidR="004B10BF">
        <w:t>, D.,</w:t>
      </w:r>
      <w:r w:rsidRPr="001124ED">
        <w:t xml:space="preserve"> </w:t>
      </w:r>
      <w:r w:rsidR="0035631A">
        <w:t xml:space="preserve">Bradley, S. J., and </w:t>
      </w:r>
      <w:proofErr w:type="spellStart"/>
      <w:r w:rsidR="0035631A">
        <w:t>Zucker</w:t>
      </w:r>
      <w:proofErr w:type="spellEnd"/>
      <w:r w:rsidR="0035631A">
        <w:t>, K. J.</w:t>
      </w:r>
      <w:r w:rsidRPr="001124ED">
        <w:t xml:space="preserve"> </w:t>
      </w:r>
      <w:r w:rsidRPr="004B10BF">
        <w:rPr>
          <w:iCs/>
        </w:rPr>
        <w:t xml:space="preserve">A Follow-Up Study of Boys </w:t>
      </w:r>
      <w:proofErr w:type="gramStart"/>
      <w:r w:rsidRPr="004B10BF">
        <w:rPr>
          <w:iCs/>
        </w:rPr>
        <w:t>With</w:t>
      </w:r>
      <w:proofErr w:type="gramEnd"/>
      <w:r w:rsidRPr="004B10BF">
        <w:rPr>
          <w:iCs/>
        </w:rPr>
        <w:t xml:space="preserve"> Gender Identity Disorder</w:t>
      </w:r>
      <w:r w:rsidR="004B10BF">
        <w:t xml:space="preserve">, </w:t>
      </w:r>
      <w:r w:rsidR="004B10BF">
        <w:rPr>
          <w:i/>
        </w:rPr>
        <w:t>Frontiers in Psychiatry</w:t>
      </w:r>
      <w:r w:rsidR="004B10BF">
        <w:t xml:space="preserve"> </w:t>
      </w:r>
      <w:r w:rsidRPr="004B10BF">
        <w:rPr>
          <w:b/>
        </w:rPr>
        <w:t>2021</w:t>
      </w:r>
      <w:r w:rsidR="004B10BF">
        <w:t xml:space="preserve">, </w:t>
      </w:r>
      <w:r w:rsidR="004B10BF">
        <w:rPr>
          <w:i/>
        </w:rPr>
        <w:t>12</w:t>
      </w:r>
      <w:r w:rsidR="004B10BF">
        <w:t>,</w:t>
      </w:r>
      <w:r w:rsidRPr="001124ED">
        <w:t xml:space="preserve"> </w:t>
      </w:r>
      <w:r w:rsidR="004B10BF">
        <w:t>1</w:t>
      </w:r>
      <w:r w:rsidR="00702E66">
        <w:t>-18</w:t>
      </w:r>
      <w:r w:rsidR="004B10BF">
        <w:t xml:space="preserve">.  </w:t>
      </w:r>
      <w:r>
        <w:t>Available at https://</w:t>
      </w:r>
      <w:r w:rsidRPr="003A5207">
        <w:t>doi: 10.3389/fpsyt.2021.632784</w:t>
      </w:r>
    </w:p>
    <w:p w:rsidR="004D77E0" w:rsidRDefault="004D77E0" w:rsidP="004D77E0">
      <w:pPr>
        <w:pStyle w:val="ListParagraph"/>
      </w:pPr>
      <w:proofErr w:type="spellStart"/>
      <w:r w:rsidRPr="006B1CC4">
        <w:t>Hembree</w:t>
      </w:r>
      <w:proofErr w:type="spellEnd"/>
      <w:r w:rsidR="0035631A">
        <w:t>, W. C.,</w:t>
      </w:r>
      <w:r w:rsidRPr="006B1CC4">
        <w:t xml:space="preserve"> et al., </w:t>
      </w:r>
      <w:r w:rsidRPr="00057AF5">
        <w:rPr>
          <w:iCs/>
        </w:rPr>
        <w:t xml:space="preserve">Endocrine Treatment of </w:t>
      </w:r>
      <w:proofErr w:type="spellStart"/>
      <w:r w:rsidRPr="00057AF5">
        <w:rPr>
          <w:iCs/>
        </w:rPr>
        <w:t>GenderDysphoric</w:t>
      </w:r>
      <w:proofErr w:type="spellEnd"/>
      <w:r w:rsidRPr="00057AF5">
        <w:rPr>
          <w:iCs/>
        </w:rPr>
        <w:t>/Gender-Incongruent Persons: An Endocrine Society Clinical Practice Guideline</w:t>
      </w:r>
      <w:r w:rsidR="00057AF5">
        <w:t xml:space="preserve">. </w:t>
      </w:r>
      <w:r w:rsidRPr="006B1CC4">
        <w:t xml:space="preserve"> </w:t>
      </w:r>
      <w:r w:rsidR="00057AF5">
        <w:rPr>
          <w:i/>
        </w:rPr>
        <w:t>J</w:t>
      </w:r>
      <w:r w:rsidRPr="006B1CC4">
        <w:t>.</w:t>
      </w:r>
      <w:r w:rsidR="00057AF5">
        <w:t xml:space="preserve"> </w:t>
      </w:r>
      <w:r w:rsidR="00057AF5" w:rsidRPr="00057AF5">
        <w:rPr>
          <w:i/>
        </w:rPr>
        <w:t>Clinical Endocrinology &amp; Metabolism</w:t>
      </w:r>
      <w:r w:rsidRPr="00057AF5">
        <w:rPr>
          <w:i/>
        </w:rPr>
        <w:t xml:space="preserve"> </w:t>
      </w:r>
      <w:r w:rsidR="00057AF5">
        <w:rPr>
          <w:b/>
        </w:rPr>
        <w:t xml:space="preserve">2017, </w:t>
      </w:r>
      <w:r w:rsidR="00057AF5" w:rsidRPr="00057AF5">
        <w:rPr>
          <w:i/>
        </w:rPr>
        <w:t>102</w:t>
      </w:r>
      <w:r w:rsidR="00057AF5" w:rsidRPr="00057AF5">
        <w:t xml:space="preserve">, </w:t>
      </w:r>
      <w:r w:rsidR="00057AF5">
        <w:t>3869</w:t>
      </w:r>
      <w:r w:rsidR="0035631A">
        <w:t>-3903</w:t>
      </w:r>
      <w:r w:rsidRPr="006B1CC4">
        <w:t>.</w:t>
      </w:r>
      <w:r>
        <w:t xml:space="preserve"> Available at </w:t>
      </w:r>
      <w:hyperlink r:id="rId9" w:history="1">
        <w:r w:rsidRPr="00C045E3">
          <w:rPr>
            <w:rStyle w:val="Hyperlink"/>
          </w:rPr>
          <w:t>https://doi.org/10.1210/jc.2017-01658</w:t>
        </w:r>
      </w:hyperlink>
      <w:r>
        <w:t xml:space="preserve">  </w:t>
      </w:r>
    </w:p>
    <w:p w:rsidR="004D77E0" w:rsidRPr="00382790" w:rsidRDefault="004D77E0" w:rsidP="004D77E0">
      <w:pPr>
        <w:pStyle w:val="ListParagraph"/>
      </w:pPr>
      <w:r w:rsidRPr="001124ED">
        <w:t>Laidlaw</w:t>
      </w:r>
      <w:r w:rsidR="00057AF5">
        <w:t>, M. K.,</w:t>
      </w:r>
      <w:r w:rsidRPr="001124ED">
        <w:t xml:space="preserve"> et al.,</w:t>
      </w:r>
      <w:r w:rsidRPr="00D86EE5">
        <w:rPr>
          <w:rFonts w:ascii="TimesNewRomanPS-ItalicMT" w:hAnsi="TimesNewRomanPS-ItalicMT"/>
          <w:i/>
          <w:iCs/>
          <w:color w:val="000000"/>
          <w:sz w:val="28"/>
          <w:szCs w:val="28"/>
        </w:rPr>
        <w:t xml:space="preserve"> </w:t>
      </w:r>
      <w:r w:rsidRPr="00057AF5">
        <w:rPr>
          <w:iCs/>
        </w:rPr>
        <w:t>Letter to the Editor: Endocrine Treatment of Gender-</w:t>
      </w:r>
      <w:proofErr w:type="spellStart"/>
      <w:r w:rsidRPr="00057AF5">
        <w:rPr>
          <w:iCs/>
        </w:rPr>
        <w:t>Dsyphoria</w:t>
      </w:r>
      <w:proofErr w:type="spellEnd"/>
      <w:r w:rsidRPr="00057AF5">
        <w:rPr>
          <w:iCs/>
        </w:rPr>
        <w:t>/</w:t>
      </w:r>
      <w:proofErr w:type="spellStart"/>
      <w:r w:rsidRPr="00057AF5">
        <w:rPr>
          <w:iCs/>
        </w:rPr>
        <w:t>GenderIncongruent</w:t>
      </w:r>
      <w:proofErr w:type="spellEnd"/>
      <w:r w:rsidRPr="00057AF5">
        <w:rPr>
          <w:iCs/>
        </w:rPr>
        <w:t xml:space="preserve"> Persons</w:t>
      </w:r>
      <w:r w:rsidR="00057AF5">
        <w:t xml:space="preserve">. </w:t>
      </w:r>
      <w:r w:rsidR="00057AF5">
        <w:rPr>
          <w:i/>
        </w:rPr>
        <w:t>J</w:t>
      </w:r>
      <w:r w:rsidR="00057AF5" w:rsidRPr="006B1CC4">
        <w:t>.</w:t>
      </w:r>
      <w:r w:rsidR="00057AF5">
        <w:t xml:space="preserve"> </w:t>
      </w:r>
      <w:r w:rsidR="00057AF5" w:rsidRPr="00057AF5">
        <w:rPr>
          <w:i/>
        </w:rPr>
        <w:t>Clinical Endocrinology &amp; Metabolism</w:t>
      </w:r>
      <w:r w:rsidR="00057AF5" w:rsidRPr="00D86EE5">
        <w:t xml:space="preserve"> </w:t>
      </w:r>
      <w:r w:rsidR="00057AF5">
        <w:rPr>
          <w:b/>
        </w:rPr>
        <w:t xml:space="preserve">2019 </w:t>
      </w:r>
      <w:r w:rsidR="00057AF5" w:rsidRPr="00057AF5">
        <w:rPr>
          <w:i/>
        </w:rPr>
        <w:t>104</w:t>
      </w:r>
      <w:r w:rsidR="00057AF5">
        <w:t>, 686</w:t>
      </w:r>
      <w:r w:rsidRPr="00D86EE5">
        <w:t>.</w:t>
      </w:r>
      <w:r>
        <w:t xml:space="preserve"> </w:t>
      </w:r>
    </w:p>
    <w:p w:rsidR="004D77E0" w:rsidRDefault="004D77E0" w:rsidP="004D77E0">
      <w:pPr>
        <w:pStyle w:val="ListParagraph"/>
      </w:pPr>
      <w:r w:rsidRPr="00781FED">
        <w:t>Littman,</w:t>
      </w:r>
      <w:r w:rsidR="00EF0FB3">
        <w:t xml:space="preserve"> L.</w:t>
      </w:r>
      <w:r w:rsidRPr="00781FED">
        <w:t xml:space="preserve"> </w:t>
      </w:r>
      <w:r w:rsidRPr="00EF0FB3">
        <w:rPr>
          <w:iCs/>
        </w:rPr>
        <w:t xml:space="preserve">Rapid-Onset Gender </w:t>
      </w:r>
      <w:proofErr w:type="spellStart"/>
      <w:r w:rsidRPr="00EF0FB3">
        <w:rPr>
          <w:iCs/>
        </w:rPr>
        <w:t>Dysphoria</w:t>
      </w:r>
      <w:proofErr w:type="spellEnd"/>
      <w:r w:rsidRPr="00EF0FB3">
        <w:rPr>
          <w:iCs/>
        </w:rPr>
        <w:t xml:space="preserve"> </w:t>
      </w:r>
      <w:r w:rsidR="00EF0FB3" w:rsidRPr="00EF0FB3">
        <w:rPr>
          <w:iCs/>
        </w:rPr>
        <w:t>in Adolescents and Young Adults.</w:t>
      </w:r>
      <w:r w:rsidRPr="00781FED">
        <w:rPr>
          <w:i/>
          <w:iCs/>
        </w:rPr>
        <w:t xml:space="preserve"> </w:t>
      </w:r>
      <w:proofErr w:type="spellStart"/>
      <w:r w:rsidR="00EF0FB3">
        <w:rPr>
          <w:i/>
        </w:rPr>
        <w:t>Plos</w:t>
      </w:r>
      <w:proofErr w:type="spellEnd"/>
      <w:r w:rsidR="00EF0FB3">
        <w:rPr>
          <w:i/>
        </w:rPr>
        <w:t xml:space="preserve"> One</w:t>
      </w:r>
      <w:r w:rsidR="00EF0FB3">
        <w:t xml:space="preserve"> </w:t>
      </w:r>
      <w:r w:rsidRPr="00EF0FB3">
        <w:rPr>
          <w:b/>
        </w:rPr>
        <w:t>2018</w:t>
      </w:r>
      <w:r w:rsidR="00EF0FB3">
        <w:t>,</w:t>
      </w:r>
      <w:r w:rsidR="00702E66">
        <w:t xml:space="preserve"> </w:t>
      </w:r>
      <w:r w:rsidRPr="00EF0FB3">
        <w:rPr>
          <w:i/>
        </w:rPr>
        <w:t>13</w:t>
      </w:r>
      <w:r>
        <w:t xml:space="preserve">, </w:t>
      </w:r>
      <w:r w:rsidR="00702E66">
        <w:t>1-44</w:t>
      </w:r>
      <w:r>
        <w:t xml:space="preserve">.  </w:t>
      </w:r>
      <w:r w:rsidRPr="00781FED">
        <w:rPr>
          <w:i/>
          <w:iCs/>
        </w:rPr>
        <w:t xml:space="preserve">Available at </w:t>
      </w:r>
      <w:hyperlink r:id="rId10" w:history="1">
        <w:r w:rsidRPr="00BB0022">
          <w:rPr>
            <w:rStyle w:val="Hyperlink"/>
          </w:rPr>
          <w:t>https://doi.org/10.1371/journal.pone.0202330</w:t>
        </w:r>
      </w:hyperlink>
    </w:p>
    <w:p w:rsidR="004D77E0" w:rsidRDefault="004D77E0" w:rsidP="004D77E0">
      <w:pPr>
        <w:pStyle w:val="ListParagraph"/>
      </w:pPr>
      <w:r w:rsidRPr="00154747">
        <w:lastRenderedPageBreak/>
        <w:t xml:space="preserve">Coleman, E., </w:t>
      </w:r>
      <w:proofErr w:type="spellStart"/>
      <w:r w:rsidRPr="00154747">
        <w:t>Bockting</w:t>
      </w:r>
      <w:proofErr w:type="spellEnd"/>
      <w:r w:rsidRPr="00154747">
        <w:t xml:space="preserve">, W., </w:t>
      </w:r>
      <w:proofErr w:type="spellStart"/>
      <w:r w:rsidRPr="00154747">
        <w:t>Botzer</w:t>
      </w:r>
      <w:proofErr w:type="spellEnd"/>
      <w:r w:rsidRPr="00154747">
        <w:t>, M., Cohen-</w:t>
      </w:r>
      <w:proofErr w:type="spellStart"/>
      <w:r w:rsidRPr="00154747">
        <w:t>Kettenis</w:t>
      </w:r>
      <w:proofErr w:type="spellEnd"/>
      <w:r w:rsidRPr="00154747">
        <w:t xml:space="preserve">, P., </w:t>
      </w:r>
      <w:proofErr w:type="spellStart"/>
      <w:r w:rsidRPr="00154747">
        <w:t>DeCuypere</w:t>
      </w:r>
      <w:proofErr w:type="spellEnd"/>
      <w:r w:rsidRPr="00154747">
        <w:t>, G., Feldman, J</w:t>
      </w:r>
      <w:proofErr w:type="gramStart"/>
      <w:r w:rsidRPr="00154747">
        <w:t>., . . .</w:t>
      </w:r>
      <w:proofErr w:type="gramEnd"/>
      <w:r w:rsidRPr="00154747">
        <w:t xml:space="preserve"> </w:t>
      </w:r>
      <w:proofErr w:type="spellStart"/>
      <w:r w:rsidRPr="00154747">
        <w:t>Zucker</w:t>
      </w:r>
      <w:proofErr w:type="spellEnd"/>
      <w:r w:rsidRPr="00154747">
        <w:t xml:space="preserve">, K. Standards of care for the health of transsexual, transgender and gender non-conforming people, version 7. </w:t>
      </w:r>
      <w:r w:rsidRPr="00EF0FB3">
        <w:rPr>
          <w:i/>
        </w:rPr>
        <w:t xml:space="preserve">International Journal of </w:t>
      </w:r>
      <w:proofErr w:type="spellStart"/>
      <w:r w:rsidRPr="00EF0FB3">
        <w:rPr>
          <w:i/>
        </w:rPr>
        <w:t>Transgenderism</w:t>
      </w:r>
      <w:proofErr w:type="spellEnd"/>
      <w:r w:rsidRPr="00154747">
        <w:t xml:space="preserve">, </w:t>
      </w:r>
      <w:r w:rsidRPr="00EF0FB3">
        <w:rPr>
          <w:i/>
        </w:rPr>
        <w:t>13</w:t>
      </w:r>
      <w:r w:rsidRPr="00154747">
        <w:t>, 165–232</w:t>
      </w:r>
      <w:r>
        <w:t>.</w:t>
      </w:r>
    </w:p>
    <w:p w:rsidR="004D77E0" w:rsidRDefault="004D77E0" w:rsidP="004D77E0">
      <w:pPr>
        <w:pStyle w:val="ListParagraph"/>
      </w:pPr>
      <w:proofErr w:type="spellStart"/>
      <w:r w:rsidRPr="00C356FE">
        <w:t>Adelson</w:t>
      </w:r>
      <w:proofErr w:type="spellEnd"/>
      <w:r w:rsidRPr="00C356FE">
        <w:t>, S.L</w:t>
      </w:r>
      <w:r w:rsidR="00EF0FB3">
        <w:t>.</w:t>
      </w:r>
      <w:r w:rsidRPr="00C356FE">
        <w:t xml:space="preserve"> Practice parameter on gay, lesbian, or bisexual sexual orientation, gender nonconformity, and gender discordance in children and adolescents. </w:t>
      </w:r>
      <w:r w:rsidRPr="00EF0FB3">
        <w:rPr>
          <w:i/>
        </w:rPr>
        <w:t>Journal of the American Academy of Child and Adolescent Psychiatry</w:t>
      </w:r>
      <w:r w:rsidRPr="00C356FE">
        <w:t>,</w:t>
      </w:r>
      <w:r w:rsidR="00EF0FB3">
        <w:t xml:space="preserve"> </w:t>
      </w:r>
      <w:r w:rsidR="00EF0FB3">
        <w:rPr>
          <w:b/>
        </w:rPr>
        <w:t>2012</w:t>
      </w:r>
      <w:r w:rsidR="00EF0FB3">
        <w:t>,</w:t>
      </w:r>
      <w:r w:rsidRPr="00C356FE">
        <w:t xml:space="preserve"> </w:t>
      </w:r>
      <w:r w:rsidRPr="00EF0FB3">
        <w:rPr>
          <w:i/>
        </w:rPr>
        <w:t>51</w:t>
      </w:r>
      <w:r w:rsidRPr="00C356FE">
        <w:t>, 957–974</w:t>
      </w:r>
      <w:r>
        <w:t>.</w:t>
      </w:r>
    </w:p>
    <w:p w:rsidR="004D77E0" w:rsidRDefault="004D77E0" w:rsidP="004D77E0">
      <w:pPr>
        <w:pStyle w:val="ListParagraph"/>
      </w:pPr>
      <w:proofErr w:type="spellStart"/>
      <w:r w:rsidRPr="00ED3534">
        <w:t>Durwood</w:t>
      </w:r>
      <w:proofErr w:type="spellEnd"/>
      <w:r w:rsidRPr="00ED3534">
        <w:t xml:space="preserve">, L., McLaughlin, K. A., &amp; Olson, K. R. Mental health and self-worth in socially transitioned transgender youth. </w:t>
      </w:r>
      <w:r w:rsidRPr="00ED3534">
        <w:rPr>
          <w:i/>
          <w:iCs/>
        </w:rPr>
        <w:t>Journal of the American Academy of Child &amp; Adolescent Psychiatry</w:t>
      </w:r>
      <w:r w:rsidRPr="00ED3534">
        <w:t xml:space="preserve">, </w:t>
      </w:r>
      <w:r w:rsidR="00EF0FB3" w:rsidRPr="00C5320E">
        <w:rPr>
          <w:b/>
        </w:rPr>
        <w:t>2017</w:t>
      </w:r>
      <w:r w:rsidR="00C5320E">
        <w:t xml:space="preserve">, </w:t>
      </w:r>
      <w:r w:rsidRPr="00C5320E">
        <w:rPr>
          <w:i/>
          <w:iCs/>
        </w:rPr>
        <w:t>56</w:t>
      </w:r>
      <w:r w:rsidR="00C5320E">
        <w:t>,</w:t>
      </w:r>
      <w:r w:rsidRPr="00ED3534">
        <w:t xml:space="preserve"> 116–123.</w:t>
      </w:r>
    </w:p>
    <w:p w:rsidR="004D77E0" w:rsidRDefault="004D77E0" w:rsidP="004D77E0">
      <w:pPr>
        <w:pStyle w:val="ListParagraph"/>
      </w:pPr>
      <w:r w:rsidRPr="00ED3534">
        <w:t xml:space="preserve">Olson, K. R., </w:t>
      </w:r>
      <w:proofErr w:type="spellStart"/>
      <w:r w:rsidRPr="00ED3534">
        <w:t>Durwood</w:t>
      </w:r>
      <w:proofErr w:type="spellEnd"/>
      <w:r w:rsidRPr="00ED3534">
        <w:t xml:space="preserve">, L., </w:t>
      </w:r>
      <w:proofErr w:type="spellStart"/>
      <w:r w:rsidRPr="00ED3534">
        <w:t>DeM</w:t>
      </w:r>
      <w:r w:rsidR="00C5320E">
        <w:t>eules</w:t>
      </w:r>
      <w:proofErr w:type="spellEnd"/>
      <w:r w:rsidR="00C5320E">
        <w:t xml:space="preserve">, M., &amp; McLaughlin, K. A. </w:t>
      </w:r>
      <w:r w:rsidRPr="00ED3534">
        <w:t xml:space="preserve">Mental health of transgender children who are supported in their identities. </w:t>
      </w:r>
      <w:r w:rsidRPr="00ED3534">
        <w:rPr>
          <w:i/>
          <w:iCs/>
        </w:rPr>
        <w:t>Pediatrics</w:t>
      </w:r>
      <w:r w:rsidRPr="00ED3534">
        <w:t>,</w:t>
      </w:r>
      <w:r w:rsidR="00C5320E">
        <w:t xml:space="preserve"> </w:t>
      </w:r>
      <w:r w:rsidR="00C5320E">
        <w:rPr>
          <w:b/>
        </w:rPr>
        <w:t>2016</w:t>
      </w:r>
      <w:r w:rsidR="00C5320E" w:rsidRPr="00C5320E">
        <w:t>,</w:t>
      </w:r>
      <w:r w:rsidRPr="00ED3534">
        <w:t xml:space="preserve"> </w:t>
      </w:r>
      <w:r w:rsidRPr="00ED3534">
        <w:rPr>
          <w:i/>
          <w:iCs/>
        </w:rPr>
        <w:t>137</w:t>
      </w:r>
      <w:r w:rsidRPr="00ED3534">
        <w:t xml:space="preserve">(3). </w:t>
      </w:r>
      <w:r w:rsidR="00C5320E">
        <w:t xml:space="preserve">Available at </w:t>
      </w:r>
      <w:hyperlink r:id="rId11" w:history="1">
        <w:r w:rsidRPr="00A1149B">
          <w:rPr>
            <w:rStyle w:val="Hyperlink"/>
          </w:rPr>
          <w:t>https://doi.org/10.1542/peds.2015-3223</w:t>
        </w:r>
      </w:hyperlink>
    </w:p>
    <w:p w:rsidR="004D77E0" w:rsidRDefault="004D77E0" w:rsidP="004D77E0">
      <w:pPr>
        <w:pStyle w:val="ListParagraph"/>
      </w:pPr>
      <w:proofErr w:type="spellStart"/>
      <w:r w:rsidRPr="00C76438">
        <w:t>Sievert</w:t>
      </w:r>
      <w:proofErr w:type="spellEnd"/>
      <w:r w:rsidR="00C5320E">
        <w:t>, E. D. C.,</w:t>
      </w:r>
      <w:r w:rsidRPr="00C76438">
        <w:t xml:space="preserve"> et al., Not Social Transition Status, but Peer Relations and Family Functioning Predict Psychological Functioning in a German Clinical Sample of </w:t>
      </w:r>
      <w:r w:rsidR="00C5320E">
        <w:t xml:space="preserve">Children with Gender </w:t>
      </w:r>
      <w:proofErr w:type="spellStart"/>
      <w:r w:rsidR="00C5320E">
        <w:t>Dysphoria</w:t>
      </w:r>
      <w:proofErr w:type="spellEnd"/>
      <w:r w:rsidR="00C5320E">
        <w:t xml:space="preserve">.  </w:t>
      </w:r>
      <w:r w:rsidR="00C5320E">
        <w:rPr>
          <w:i/>
        </w:rPr>
        <w:t>Clinical Child Psych, &amp; Psychiatry</w:t>
      </w:r>
      <w:r w:rsidR="00C5320E">
        <w:t xml:space="preserve"> </w:t>
      </w:r>
      <w:r w:rsidR="00C5320E">
        <w:rPr>
          <w:b/>
        </w:rPr>
        <w:t>2021</w:t>
      </w:r>
      <w:r w:rsidR="00C5320E">
        <w:t>,</w:t>
      </w:r>
      <w:r w:rsidR="00C5320E">
        <w:rPr>
          <w:b/>
        </w:rPr>
        <w:t xml:space="preserve"> </w:t>
      </w:r>
      <w:r w:rsidR="00C5320E" w:rsidRPr="00C5320E">
        <w:rPr>
          <w:i/>
        </w:rPr>
        <w:t>26</w:t>
      </w:r>
      <w:r w:rsidR="00C5320E">
        <w:rPr>
          <w:i/>
        </w:rPr>
        <w:t>,</w:t>
      </w:r>
      <w:r w:rsidRPr="00C5320E">
        <w:rPr>
          <w:i/>
        </w:rPr>
        <w:t xml:space="preserve"> </w:t>
      </w:r>
      <w:r w:rsidR="00C5320E">
        <w:t>79</w:t>
      </w:r>
      <w:r w:rsidR="00702E66">
        <w:t>-95</w:t>
      </w:r>
      <w:r w:rsidR="00C5320E">
        <w:t xml:space="preserve">.  </w:t>
      </w:r>
      <w:r w:rsidRPr="00C76438">
        <w:t xml:space="preserve">Available at </w:t>
      </w:r>
      <w:hyperlink r:id="rId12" w:history="1">
        <w:r w:rsidRPr="00C045E3">
          <w:rPr>
            <w:rStyle w:val="Hyperlink"/>
          </w:rPr>
          <w:t>https://doi.org/10.1177/1359104520964530</w:t>
        </w:r>
      </w:hyperlink>
    </w:p>
    <w:p w:rsidR="004D77E0" w:rsidRDefault="004D77E0" w:rsidP="004D77E0">
      <w:pPr>
        <w:pStyle w:val="ListParagraph"/>
      </w:pPr>
      <w:r w:rsidRPr="00464D45">
        <w:t xml:space="preserve">Wong, W. I., van </w:t>
      </w:r>
      <w:proofErr w:type="spellStart"/>
      <w:r w:rsidRPr="00464D45">
        <w:t>der</w:t>
      </w:r>
      <w:proofErr w:type="spellEnd"/>
      <w:r w:rsidRPr="00464D45">
        <w:t xml:space="preserve"> </w:t>
      </w:r>
      <w:proofErr w:type="spellStart"/>
      <w:r w:rsidRPr="00464D45">
        <w:t>Miesen</w:t>
      </w:r>
      <w:proofErr w:type="spellEnd"/>
      <w:r w:rsidRPr="00464D45">
        <w:t xml:space="preserve">, A. I. R., Li, T. G. F., </w:t>
      </w:r>
      <w:proofErr w:type="spellStart"/>
      <w:r w:rsidRPr="00464D45">
        <w:t>MacMull</w:t>
      </w:r>
      <w:r w:rsidR="00C5320E">
        <w:t>in</w:t>
      </w:r>
      <w:proofErr w:type="spellEnd"/>
      <w:r w:rsidR="00C5320E">
        <w:t xml:space="preserve">, L. N., &amp; </w:t>
      </w:r>
      <w:proofErr w:type="spellStart"/>
      <w:r w:rsidR="00C5320E">
        <w:t>VanderLaan</w:t>
      </w:r>
      <w:proofErr w:type="spellEnd"/>
      <w:r w:rsidR="00C5320E">
        <w:t xml:space="preserve">, D. P. </w:t>
      </w:r>
      <w:r w:rsidRPr="00464D45">
        <w:t xml:space="preserve">Childhood social gender transition and psychosocial well-being: A comparison to </w:t>
      </w:r>
      <w:proofErr w:type="spellStart"/>
      <w:r w:rsidRPr="00464D45">
        <w:t>cisgender</w:t>
      </w:r>
      <w:proofErr w:type="spellEnd"/>
      <w:r w:rsidRPr="00464D45">
        <w:t xml:space="preserve"> gender-variant children. </w:t>
      </w:r>
      <w:r w:rsidRPr="00464D45">
        <w:rPr>
          <w:i/>
          <w:iCs/>
        </w:rPr>
        <w:t>Clinical Practice in Pediatric Psychology</w:t>
      </w:r>
      <w:r w:rsidRPr="00464D45">
        <w:t xml:space="preserve">, </w:t>
      </w:r>
      <w:r w:rsidR="00C5320E" w:rsidRPr="00C5320E">
        <w:t>2019</w:t>
      </w:r>
      <w:r w:rsidR="00C5320E">
        <w:t xml:space="preserve">, </w:t>
      </w:r>
      <w:r w:rsidRPr="00C5320E">
        <w:rPr>
          <w:i/>
          <w:iCs/>
        </w:rPr>
        <w:t>7</w:t>
      </w:r>
      <w:r w:rsidRPr="00464D45">
        <w:t xml:space="preserve">, 241–251. </w:t>
      </w:r>
      <w:r w:rsidR="00C5320E">
        <w:t xml:space="preserve"> Available at </w:t>
      </w:r>
      <w:r w:rsidRPr="00464D45">
        <w:t>https://doi.org/10.1037/cpp0000295</w:t>
      </w:r>
    </w:p>
    <w:p w:rsidR="004D77E0" w:rsidRDefault="004D77E0" w:rsidP="004D77E0">
      <w:pPr>
        <w:pStyle w:val="ListParagraph"/>
      </w:pPr>
      <w:proofErr w:type="spellStart"/>
      <w:r w:rsidRPr="006D67AA">
        <w:t>Morandini</w:t>
      </w:r>
      <w:proofErr w:type="spellEnd"/>
      <w:r w:rsidRPr="006D67AA">
        <w:t xml:space="preserve">, J.S., Kelly, A., de </w:t>
      </w:r>
      <w:proofErr w:type="spellStart"/>
      <w:r w:rsidRPr="006D67AA">
        <w:t>Graaf</w:t>
      </w:r>
      <w:proofErr w:type="spellEnd"/>
      <w:r w:rsidRPr="006D67AA">
        <w:t>, N.M. et al</w:t>
      </w:r>
      <w:r w:rsidRPr="006D67AA">
        <w:rPr>
          <w:i/>
          <w:iCs/>
        </w:rPr>
        <w:t xml:space="preserve">. </w:t>
      </w:r>
      <w:r w:rsidRPr="00C5320E">
        <w:rPr>
          <w:iCs/>
        </w:rPr>
        <w:t xml:space="preserve">Is Social Gender Transition Associated with Mental Health Status in Children and Adolescents with Gender </w:t>
      </w:r>
      <w:proofErr w:type="spellStart"/>
      <w:r w:rsidRPr="00C5320E">
        <w:rPr>
          <w:iCs/>
        </w:rPr>
        <w:t>Dysphoria</w:t>
      </w:r>
      <w:proofErr w:type="spellEnd"/>
      <w:r w:rsidR="00C5320E" w:rsidRPr="00C5320E">
        <w:t>?</w:t>
      </w:r>
      <w:r w:rsidRPr="00C5320E">
        <w:t xml:space="preserve"> </w:t>
      </w:r>
      <w:r w:rsidRPr="006D0005">
        <w:rPr>
          <w:i/>
        </w:rPr>
        <w:t xml:space="preserve">Arch Sex </w:t>
      </w:r>
      <w:proofErr w:type="spellStart"/>
      <w:r w:rsidRPr="006D0005">
        <w:rPr>
          <w:i/>
        </w:rPr>
        <w:t>Behav</w:t>
      </w:r>
      <w:proofErr w:type="spellEnd"/>
      <w:r w:rsidRPr="006D0005">
        <w:rPr>
          <w:i/>
        </w:rPr>
        <w:t xml:space="preserve"> </w:t>
      </w:r>
      <w:r w:rsidR="006D0005" w:rsidRPr="006D0005">
        <w:rPr>
          <w:b/>
        </w:rPr>
        <w:t>2023</w:t>
      </w:r>
      <w:r w:rsidR="006D0005">
        <w:t xml:space="preserve">, </w:t>
      </w:r>
      <w:r w:rsidRPr="006D0005">
        <w:rPr>
          <w:i/>
        </w:rPr>
        <w:t>52</w:t>
      </w:r>
      <w:r w:rsidR="006D0005">
        <w:t xml:space="preserve">, 1045–1060.  </w:t>
      </w:r>
      <w:r>
        <w:t>Available at</w:t>
      </w:r>
      <w:r w:rsidRPr="006D67AA">
        <w:t xml:space="preserve"> </w:t>
      </w:r>
      <w:hyperlink r:id="rId13" w:history="1">
        <w:r w:rsidRPr="00C045E3">
          <w:rPr>
            <w:rStyle w:val="Hyperlink"/>
          </w:rPr>
          <w:t>https://doi.org/10.1007/s10508-023-02588-5</w:t>
        </w:r>
      </w:hyperlink>
    </w:p>
    <w:p w:rsidR="004D77E0" w:rsidRPr="000C0420" w:rsidRDefault="004D77E0" w:rsidP="004D77E0">
      <w:pPr>
        <w:pStyle w:val="ListParagraph"/>
      </w:pPr>
      <w:r w:rsidRPr="00CB4F26">
        <w:t>Levine,</w:t>
      </w:r>
      <w:r w:rsidR="006D0005">
        <w:t xml:space="preserve"> S. B. </w:t>
      </w:r>
      <w:r w:rsidRPr="00CB4F26">
        <w:t xml:space="preserve"> </w:t>
      </w:r>
      <w:r w:rsidRPr="006D0005">
        <w:rPr>
          <w:iCs/>
        </w:rPr>
        <w:t xml:space="preserve">Ethical Concerns About Emerging Treatment Paradigms for Gender </w:t>
      </w:r>
      <w:proofErr w:type="spellStart"/>
      <w:r w:rsidRPr="006D0005">
        <w:rPr>
          <w:iCs/>
        </w:rPr>
        <w:t>Dysphoria</w:t>
      </w:r>
      <w:proofErr w:type="spellEnd"/>
      <w:r w:rsidR="006D0005" w:rsidRPr="006D0005">
        <w:t>.</w:t>
      </w:r>
      <w:r w:rsidRPr="00CB4F26">
        <w:t xml:space="preserve"> </w:t>
      </w:r>
      <w:r w:rsidRPr="006D0005">
        <w:rPr>
          <w:i/>
        </w:rPr>
        <w:t>J.</w:t>
      </w:r>
      <w:r>
        <w:t xml:space="preserve"> </w:t>
      </w:r>
      <w:r w:rsidRPr="006D0005">
        <w:rPr>
          <w:i/>
        </w:rPr>
        <w:t xml:space="preserve">Sex &amp; Marital </w:t>
      </w:r>
      <w:proofErr w:type="spellStart"/>
      <w:r w:rsidRPr="006D0005">
        <w:rPr>
          <w:i/>
        </w:rPr>
        <w:t>Ther</w:t>
      </w:r>
      <w:proofErr w:type="spellEnd"/>
      <w:r w:rsidRPr="006D0005">
        <w:rPr>
          <w:i/>
        </w:rPr>
        <w:t>.</w:t>
      </w:r>
      <w:r w:rsidR="006D0005">
        <w:rPr>
          <w:i/>
        </w:rPr>
        <w:t xml:space="preserve"> </w:t>
      </w:r>
      <w:r w:rsidR="006D0005">
        <w:rPr>
          <w:b/>
        </w:rPr>
        <w:t>2018</w:t>
      </w:r>
      <w:r w:rsidR="006D0005">
        <w:t xml:space="preserve">, </w:t>
      </w:r>
      <w:r w:rsidR="006D0005">
        <w:rPr>
          <w:i/>
        </w:rPr>
        <w:t>44</w:t>
      </w:r>
      <w:r w:rsidR="006D0005">
        <w:t>,</w:t>
      </w:r>
      <w:r>
        <w:t xml:space="preserve"> 29</w:t>
      </w:r>
      <w:r w:rsidR="006D0005">
        <w:t xml:space="preserve">.  </w:t>
      </w:r>
      <w:proofErr w:type="spellStart"/>
      <w:r>
        <w:t>Availailable</w:t>
      </w:r>
      <w:proofErr w:type="spellEnd"/>
      <w:r>
        <w:t xml:space="preserve"> at </w:t>
      </w:r>
      <w:hyperlink r:id="rId14" w:history="1">
        <w:r w:rsidRPr="00CC1C79">
          <w:rPr>
            <w:rStyle w:val="Hyperlink"/>
          </w:rPr>
          <w:t>https://doi.org/10.1080/0092623X.2017.1309482</w:t>
        </w:r>
      </w:hyperlink>
    </w:p>
    <w:p w:rsidR="004D77E0" w:rsidRPr="008305BB" w:rsidRDefault="004D77E0" w:rsidP="004D77E0">
      <w:pPr>
        <w:pStyle w:val="ListParagraph"/>
        <w:rPr>
          <w:color w:val="000000" w:themeColor="text1"/>
        </w:rPr>
      </w:pPr>
      <w:proofErr w:type="spellStart"/>
      <w:r w:rsidRPr="000C0420">
        <w:rPr>
          <w:color w:val="000000" w:themeColor="text1"/>
        </w:rPr>
        <w:t>Riittakertu</w:t>
      </w:r>
      <w:proofErr w:type="spellEnd"/>
      <w:r w:rsidRPr="000C0420">
        <w:rPr>
          <w:color w:val="000000" w:themeColor="text1"/>
        </w:rPr>
        <w:t xml:space="preserve"> </w:t>
      </w:r>
      <w:proofErr w:type="spellStart"/>
      <w:r w:rsidRPr="000C0420">
        <w:rPr>
          <w:color w:val="000000" w:themeColor="text1"/>
        </w:rPr>
        <w:t>Kaltiala</w:t>
      </w:r>
      <w:proofErr w:type="spellEnd"/>
      <w:r w:rsidRPr="000C0420">
        <w:rPr>
          <w:color w:val="000000" w:themeColor="text1"/>
        </w:rPr>
        <w:t xml:space="preserve"> (2023) </w:t>
      </w:r>
      <w:r w:rsidRPr="008305BB">
        <w:rPr>
          <w:i/>
          <w:color w:val="000000" w:themeColor="text1"/>
        </w:rPr>
        <w:t>The Free Press</w:t>
      </w:r>
      <w:r>
        <w:rPr>
          <w:color w:val="000000" w:themeColor="text1"/>
        </w:rPr>
        <w:t xml:space="preserve">.  Available at </w:t>
      </w:r>
      <w:hyperlink r:id="rId15" w:history="1">
        <w:r w:rsidRPr="008305BB">
          <w:rPr>
            <w:rStyle w:val="Hyperlink"/>
          </w:rPr>
          <w:t>https://www.thefp.com/p/gender-affirming-care-dangerous-finland-doctor</w:t>
        </w:r>
      </w:hyperlink>
    </w:p>
    <w:p w:rsidR="004D77E0" w:rsidRDefault="004D77E0" w:rsidP="004D77E0">
      <w:pPr>
        <w:pStyle w:val="ListParagraph"/>
        <w:rPr>
          <w:color w:val="000000" w:themeColor="text1"/>
        </w:rPr>
      </w:pPr>
      <w:proofErr w:type="spellStart"/>
      <w:r w:rsidRPr="00350BBA">
        <w:rPr>
          <w:color w:val="000000" w:themeColor="text1"/>
        </w:rPr>
        <w:t>Ruuska</w:t>
      </w:r>
      <w:proofErr w:type="spellEnd"/>
      <w:r w:rsidRPr="00350BBA">
        <w:rPr>
          <w:color w:val="000000" w:themeColor="text1"/>
        </w:rPr>
        <w:t xml:space="preserve">, S. M., </w:t>
      </w:r>
      <w:proofErr w:type="spellStart"/>
      <w:r w:rsidRPr="00350BBA">
        <w:rPr>
          <w:color w:val="000000" w:themeColor="text1"/>
        </w:rPr>
        <w:t>Tuisku</w:t>
      </w:r>
      <w:proofErr w:type="spellEnd"/>
      <w:r w:rsidRPr="00350BBA">
        <w:rPr>
          <w:color w:val="000000" w:themeColor="text1"/>
        </w:rPr>
        <w:t xml:space="preserve">, K., </w:t>
      </w:r>
      <w:proofErr w:type="spellStart"/>
      <w:r w:rsidRPr="00350BBA">
        <w:rPr>
          <w:color w:val="000000" w:themeColor="text1"/>
        </w:rPr>
        <w:t>Holttinen</w:t>
      </w:r>
      <w:proofErr w:type="spellEnd"/>
      <w:r w:rsidRPr="00350BBA">
        <w:rPr>
          <w:color w:val="000000" w:themeColor="text1"/>
        </w:rPr>
        <w:t xml:space="preserve">, T., &amp; </w:t>
      </w:r>
      <w:proofErr w:type="spellStart"/>
      <w:r w:rsidRPr="00350BBA">
        <w:rPr>
          <w:color w:val="000000" w:themeColor="text1"/>
        </w:rPr>
        <w:t>Kaltiala</w:t>
      </w:r>
      <w:proofErr w:type="spellEnd"/>
      <w:r w:rsidRPr="00350BBA">
        <w:rPr>
          <w:color w:val="000000" w:themeColor="text1"/>
        </w:rPr>
        <w:t xml:space="preserve">, R. (2024). All-cause and suicide mortalities among adolescents and young adults who contacted </w:t>
      </w:r>
      <w:proofErr w:type="spellStart"/>
      <w:r w:rsidRPr="00350BBA">
        <w:rPr>
          <w:color w:val="000000" w:themeColor="text1"/>
        </w:rPr>
        <w:t>specialised</w:t>
      </w:r>
      <w:proofErr w:type="spellEnd"/>
      <w:r w:rsidRPr="00350BBA">
        <w:rPr>
          <w:color w:val="000000" w:themeColor="text1"/>
        </w:rPr>
        <w:t xml:space="preserve"> gender identity services in Finland in 1996-2019: a register study.</w:t>
      </w:r>
      <w:r>
        <w:rPr>
          <w:color w:val="000000" w:themeColor="text1"/>
        </w:rPr>
        <w:t xml:space="preserve"> Available at</w:t>
      </w:r>
      <w:r w:rsidRPr="00350BBA">
        <w:rPr>
          <w:color w:val="000000" w:themeColor="text1"/>
        </w:rPr>
        <w:t xml:space="preserve"> </w:t>
      </w:r>
      <w:r w:rsidRPr="00350BBA">
        <w:rPr>
          <w:i/>
          <w:iCs/>
          <w:color w:val="000000" w:themeColor="text1"/>
        </w:rPr>
        <w:t xml:space="preserve">BMJ </w:t>
      </w:r>
      <w:r w:rsidR="00337689">
        <w:rPr>
          <w:i/>
          <w:iCs/>
          <w:color w:val="000000" w:themeColor="text1"/>
        </w:rPr>
        <w:t>M</w:t>
      </w:r>
      <w:r w:rsidRPr="00350BBA">
        <w:rPr>
          <w:i/>
          <w:iCs/>
          <w:color w:val="000000" w:themeColor="text1"/>
        </w:rPr>
        <w:t xml:space="preserve">ental </w:t>
      </w:r>
      <w:r w:rsidR="00337689">
        <w:rPr>
          <w:i/>
          <w:iCs/>
          <w:color w:val="000000" w:themeColor="text1"/>
        </w:rPr>
        <w:t>H</w:t>
      </w:r>
      <w:r w:rsidRPr="00350BBA">
        <w:rPr>
          <w:i/>
          <w:iCs/>
          <w:color w:val="000000" w:themeColor="text1"/>
        </w:rPr>
        <w:t>ealth</w:t>
      </w:r>
      <w:r w:rsidRPr="00350BBA">
        <w:rPr>
          <w:color w:val="000000" w:themeColor="text1"/>
        </w:rPr>
        <w:t xml:space="preserve">, </w:t>
      </w:r>
      <w:r w:rsidR="006D0005" w:rsidRPr="006D0005">
        <w:rPr>
          <w:b/>
          <w:color w:val="000000" w:themeColor="text1"/>
        </w:rPr>
        <w:t>2024</w:t>
      </w:r>
      <w:r w:rsidR="006D0005">
        <w:rPr>
          <w:color w:val="000000" w:themeColor="text1"/>
        </w:rPr>
        <w:t xml:space="preserve">, </w:t>
      </w:r>
      <w:r w:rsidRPr="006D0005">
        <w:rPr>
          <w:i/>
          <w:color w:val="000000" w:themeColor="text1"/>
        </w:rPr>
        <w:t>27</w:t>
      </w:r>
      <w:r w:rsidR="00337689">
        <w:rPr>
          <w:color w:val="000000" w:themeColor="text1"/>
        </w:rPr>
        <w:t xml:space="preserve">, 1-6.  Available at </w:t>
      </w:r>
      <w:r w:rsidRPr="00350BBA">
        <w:rPr>
          <w:color w:val="000000" w:themeColor="text1"/>
        </w:rPr>
        <w:t>https://doi. org/10.1136/bmjment-2023-300940</w:t>
      </w:r>
    </w:p>
    <w:p w:rsidR="004D77E0" w:rsidRDefault="004D77E0" w:rsidP="004D77E0">
      <w:pPr>
        <w:pStyle w:val="ListParagraph"/>
        <w:rPr>
          <w:color w:val="000000" w:themeColor="text1"/>
        </w:rPr>
      </w:pPr>
      <w:r>
        <w:rPr>
          <w:color w:val="000000" w:themeColor="text1"/>
        </w:rPr>
        <w:t xml:space="preserve">Hannah Barnes, “Time to Think. The Inside Story of the Collapse of the </w:t>
      </w:r>
      <w:proofErr w:type="spellStart"/>
      <w:r>
        <w:rPr>
          <w:color w:val="000000" w:themeColor="text1"/>
        </w:rPr>
        <w:t>Tavistock</w:t>
      </w:r>
      <w:proofErr w:type="spellEnd"/>
      <w:r>
        <w:rPr>
          <w:color w:val="000000" w:themeColor="text1"/>
        </w:rPr>
        <w:t xml:space="preserve"> Gender Service for Children.”  Swift Press, 2023.</w:t>
      </w:r>
    </w:p>
    <w:p w:rsidR="00DA73DB" w:rsidRPr="00E36821" w:rsidRDefault="009B27CF" w:rsidP="00E36821">
      <w:pPr>
        <w:pStyle w:val="ListParagraph"/>
        <w:rPr>
          <w:color w:val="000000" w:themeColor="text1"/>
        </w:rPr>
      </w:pPr>
      <w:r>
        <w:rPr>
          <w:color w:val="000000" w:themeColor="text1"/>
        </w:rPr>
        <w:t xml:space="preserve">Text available at </w:t>
      </w:r>
      <w:r w:rsidRPr="009B27CF">
        <w:rPr>
          <w:color w:val="000000" w:themeColor="text1"/>
        </w:rPr>
        <w:t>https://leginfo.legislature.ca.gov/faces/billTextClient.xhtml?bill_id=202320240AB1955</w:t>
      </w:r>
    </w:p>
    <w:sectPr w:rsidR="00DA73DB" w:rsidRPr="00E36821" w:rsidSect="00DA73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25B53"/>
    <w:multiLevelType w:val="hybridMultilevel"/>
    <w:tmpl w:val="B8E4A08E"/>
    <w:lvl w:ilvl="0" w:tplc="E18EB62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7E0"/>
    <w:rsid w:val="00057AF5"/>
    <w:rsid w:val="003171E3"/>
    <w:rsid w:val="00337689"/>
    <w:rsid w:val="0035631A"/>
    <w:rsid w:val="003C6752"/>
    <w:rsid w:val="004B10BF"/>
    <w:rsid w:val="004D3DE9"/>
    <w:rsid w:val="004D77E0"/>
    <w:rsid w:val="00532D73"/>
    <w:rsid w:val="006D0005"/>
    <w:rsid w:val="00702E66"/>
    <w:rsid w:val="007446F5"/>
    <w:rsid w:val="008107FA"/>
    <w:rsid w:val="009B27CF"/>
    <w:rsid w:val="009C60FE"/>
    <w:rsid w:val="00B1581C"/>
    <w:rsid w:val="00B2794E"/>
    <w:rsid w:val="00B46E40"/>
    <w:rsid w:val="00C1022D"/>
    <w:rsid w:val="00C5320E"/>
    <w:rsid w:val="00CF0B03"/>
    <w:rsid w:val="00DA73DB"/>
    <w:rsid w:val="00E36821"/>
    <w:rsid w:val="00EF0FB3"/>
    <w:rsid w:val="00FA0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E0"/>
    <w:pPr>
      <w:numPr>
        <w:numId w:val="1"/>
      </w:numPr>
      <w:contextualSpacing/>
    </w:pPr>
    <w:rPr>
      <w:rFonts w:ascii="Times New Roman" w:hAnsi="Times New Roman" w:cs="Times New Roman"/>
      <w:sz w:val="24"/>
      <w:szCs w:val="24"/>
    </w:rPr>
  </w:style>
  <w:style w:type="character" w:styleId="Hyperlink">
    <w:name w:val="Hyperlink"/>
    <w:basedOn w:val="DefaultParagraphFont"/>
    <w:uiPriority w:val="99"/>
    <w:unhideWhenUsed/>
    <w:rsid w:val="004D77E0"/>
    <w:rPr>
      <w:color w:val="0000FF" w:themeColor="hyperlink"/>
      <w:u w:val="single"/>
    </w:rPr>
  </w:style>
  <w:style w:type="character" w:customStyle="1" w:styleId="fontstyle01">
    <w:name w:val="fontstyle01"/>
    <w:basedOn w:val="DefaultParagraphFont"/>
    <w:rsid w:val="004D77E0"/>
    <w:rPr>
      <w:rFonts w:ascii="CenturySchoolbook" w:hAnsi="CenturySchoolbook" w:hint="default"/>
      <w:b w:val="0"/>
      <w:bCs w:val="0"/>
      <w:i w:val="0"/>
      <w:iCs w:val="0"/>
      <w:color w:val="0563C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ac.2013.03.016" TargetMode="External"/><Relationship Id="rId13" Type="http://schemas.openxmlformats.org/officeDocument/2006/relationships/hyperlink" Target="https://doi.org/10.1007/s10508-023-02588-5" TargetMode="External"/><Relationship Id="rId3" Type="http://schemas.openxmlformats.org/officeDocument/2006/relationships/styles" Target="styles.xml"/><Relationship Id="rId7" Type="http://schemas.openxmlformats.org/officeDocument/2006/relationships/hyperlink" Target="https://doi.org/10.1542/peds.2021-056082" TargetMode="External"/><Relationship Id="rId12" Type="http://schemas.openxmlformats.org/officeDocument/2006/relationships/hyperlink" Target="https://doi.org/10.1177/13591045209645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ass.independent-review.uk/home/publications/final-report/" TargetMode="External"/><Relationship Id="rId11" Type="http://schemas.openxmlformats.org/officeDocument/2006/relationships/hyperlink" Target="https://doi.org/10.1542/peds.2015-3223" TargetMode="External"/><Relationship Id="rId5" Type="http://schemas.openxmlformats.org/officeDocument/2006/relationships/webSettings" Target="webSettings.xml"/><Relationship Id="rId15" Type="http://schemas.openxmlformats.org/officeDocument/2006/relationships/hyperlink" Target="https://www.thefp.com/p/gender-affirming-care-dangerous-finland-doctor" TargetMode="External"/><Relationship Id="rId10" Type="http://schemas.openxmlformats.org/officeDocument/2006/relationships/hyperlink" Target="https://doi.org/10.1371/journal.pone.0202330" TargetMode="External"/><Relationship Id="rId4" Type="http://schemas.openxmlformats.org/officeDocument/2006/relationships/settings" Target="settings.xml"/><Relationship Id="rId9" Type="http://schemas.openxmlformats.org/officeDocument/2006/relationships/hyperlink" Target="https://doi.org/10.1210/jc.2017-01658" TargetMode="External"/><Relationship Id="rId14" Type="http://schemas.openxmlformats.org/officeDocument/2006/relationships/hyperlink" Target="https://doi.org/10.1080/0092623X.2017.1309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935F-575B-46A6-88E4-9A75D3ED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cp:lastPrinted>2024-08-25T19:05:00Z</cp:lastPrinted>
  <dcterms:created xsi:type="dcterms:W3CDTF">2024-08-31T21:20:00Z</dcterms:created>
  <dcterms:modified xsi:type="dcterms:W3CDTF">2024-08-31T21:20:00Z</dcterms:modified>
</cp:coreProperties>
</file>